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379B4" w14:textId="7ED2E3F6" w:rsidR="00C27E6F" w:rsidRPr="0071332B" w:rsidRDefault="0071332B" w:rsidP="0071332B">
      <w:pPr>
        <w:jc w:val="center"/>
        <w:rPr>
          <w:b/>
          <w:bCs/>
          <w:sz w:val="56"/>
          <w:szCs w:val="56"/>
        </w:rPr>
      </w:pPr>
      <w:r w:rsidRPr="0071332B">
        <w:rPr>
          <w:b/>
          <w:bCs/>
          <w:sz w:val="56"/>
          <w:szCs w:val="56"/>
        </w:rPr>
        <w:t>Proxy Access</w:t>
      </w:r>
    </w:p>
    <w:p w14:paraId="0CF2F3C0" w14:textId="77777777" w:rsidR="0071332B" w:rsidRPr="0071332B" w:rsidRDefault="0071332B" w:rsidP="0071332B">
      <w:pPr>
        <w:shd w:val="clear" w:color="auto" w:fill="FFFFFF"/>
        <w:spacing w:before="120" w:after="180" w:line="240" w:lineRule="auto"/>
        <w:textAlignment w:val="baseline"/>
        <w:outlineLvl w:val="1"/>
        <w:rPr>
          <w:rFonts w:ascii="Roboto" w:eastAsia="Times New Roman" w:hAnsi="Roboto" w:cs="Times New Roman"/>
          <w:b/>
          <w:bCs/>
          <w:color w:val="003087"/>
          <w:kern w:val="0"/>
          <w:sz w:val="41"/>
          <w:szCs w:val="41"/>
          <w:lang w:eastAsia="en-GB"/>
          <w14:ligatures w14:val="none"/>
        </w:rPr>
      </w:pPr>
      <w:r w:rsidRPr="0071332B">
        <w:rPr>
          <w:rFonts w:ascii="Roboto" w:eastAsia="Times New Roman" w:hAnsi="Roboto" w:cs="Times New Roman"/>
          <w:b/>
          <w:bCs/>
          <w:color w:val="003087"/>
          <w:kern w:val="0"/>
          <w:sz w:val="41"/>
          <w:szCs w:val="41"/>
          <w:lang w:eastAsia="en-GB"/>
          <w14:ligatures w14:val="none"/>
        </w:rPr>
        <w:t>Formal and informal proxy access</w:t>
      </w:r>
    </w:p>
    <w:p w14:paraId="5F7DBC41" w14:textId="77777777" w:rsidR="0071332B" w:rsidRPr="0071332B" w:rsidRDefault="0071332B" w:rsidP="0071332B">
      <w:pPr>
        <w:spacing w:after="0" w:line="240" w:lineRule="auto"/>
        <w:textAlignment w:val="baseline"/>
        <w:rPr>
          <w:rFonts w:ascii="Roboto" w:eastAsia="Times New Roman" w:hAnsi="Roboto" w:cs="Times New Roman"/>
          <w:color w:val="202A30"/>
          <w:kern w:val="0"/>
          <w:sz w:val="28"/>
          <w:szCs w:val="28"/>
          <w:lang w:eastAsia="en-GB"/>
          <w14:ligatures w14:val="none"/>
        </w:rPr>
      </w:pPr>
      <w:r w:rsidRPr="0071332B">
        <w:rPr>
          <w:rFonts w:ascii="Roboto" w:eastAsia="Times New Roman" w:hAnsi="Roboto" w:cs="Times New Roman"/>
          <w:color w:val="202A30"/>
          <w:kern w:val="0"/>
          <w:sz w:val="28"/>
          <w:szCs w:val="28"/>
          <w:lang w:eastAsia="en-GB"/>
          <w14:ligatures w14:val="none"/>
        </w:rPr>
        <w:t>Patients may choose to share login information and/or information from their online records </w:t>
      </w:r>
      <w:r w:rsidRPr="0071332B">
        <w:rPr>
          <w:rFonts w:ascii="Roboto" w:eastAsia="Times New Roman" w:hAnsi="Roboto" w:cs="Times New Roman"/>
          <w:i/>
          <w:iCs/>
          <w:color w:val="202A30"/>
          <w:kern w:val="0"/>
          <w:sz w:val="28"/>
          <w:szCs w:val="28"/>
          <w:bdr w:val="none" w:sz="0" w:space="0" w:color="auto" w:frame="1"/>
          <w:lang w:eastAsia="en-GB"/>
          <w14:ligatures w14:val="none"/>
        </w:rPr>
        <w:t>informally</w:t>
      </w:r>
      <w:r w:rsidRPr="0071332B">
        <w:rPr>
          <w:rFonts w:ascii="Roboto" w:eastAsia="Times New Roman" w:hAnsi="Roboto" w:cs="Times New Roman"/>
          <w:color w:val="202A30"/>
          <w:kern w:val="0"/>
          <w:sz w:val="28"/>
          <w:szCs w:val="28"/>
          <w:lang w:eastAsia="en-GB"/>
          <w14:ligatures w14:val="none"/>
        </w:rPr>
        <w:t> but should be made aware of risks to the security and confidentiality of their clinical record of doing this. </w:t>
      </w:r>
    </w:p>
    <w:p w14:paraId="75ABE998" w14:textId="77777777" w:rsidR="0071332B" w:rsidRPr="0071332B" w:rsidRDefault="0071332B" w:rsidP="0071332B">
      <w:pPr>
        <w:spacing w:after="0" w:line="240" w:lineRule="auto"/>
        <w:textAlignment w:val="baseline"/>
        <w:rPr>
          <w:rFonts w:ascii="Roboto" w:eastAsia="Times New Roman" w:hAnsi="Roboto" w:cs="Times New Roman"/>
          <w:color w:val="202A30"/>
          <w:kern w:val="0"/>
          <w:sz w:val="28"/>
          <w:szCs w:val="28"/>
          <w:lang w:eastAsia="en-GB"/>
          <w14:ligatures w14:val="none"/>
        </w:rPr>
      </w:pPr>
      <w:r w:rsidRPr="0071332B">
        <w:rPr>
          <w:rFonts w:ascii="Roboto" w:eastAsia="Times New Roman" w:hAnsi="Roboto" w:cs="Times New Roman"/>
          <w:color w:val="202A30"/>
          <w:kern w:val="0"/>
          <w:sz w:val="28"/>
          <w:szCs w:val="28"/>
          <w:lang w:eastAsia="en-GB"/>
          <w14:ligatures w14:val="none"/>
        </w:rPr>
        <w:t>The alternative of </w:t>
      </w:r>
      <w:r w:rsidRPr="0071332B">
        <w:rPr>
          <w:rFonts w:ascii="Roboto" w:eastAsia="Times New Roman" w:hAnsi="Roboto" w:cs="Times New Roman"/>
          <w:i/>
          <w:iCs/>
          <w:color w:val="202A30"/>
          <w:kern w:val="0"/>
          <w:sz w:val="28"/>
          <w:szCs w:val="28"/>
          <w:bdr w:val="none" w:sz="0" w:space="0" w:color="auto" w:frame="1"/>
          <w:lang w:eastAsia="en-GB"/>
          <w14:ligatures w14:val="none"/>
        </w:rPr>
        <w:t>formal</w:t>
      </w:r>
      <w:r w:rsidRPr="0071332B">
        <w:rPr>
          <w:rFonts w:ascii="Roboto" w:eastAsia="Times New Roman" w:hAnsi="Roboto" w:cs="Times New Roman"/>
          <w:color w:val="202A30"/>
          <w:kern w:val="0"/>
          <w:sz w:val="28"/>
          <w:szCs w:val="28"/>
          <w:lang w:eastAsia="en-GB"/>
          <w14:ligatures w14:val="none"/>
        </w:rPr>
        <w:t xml:space="preserve"> proxy access, which </w:t>
      </w:r>
      <w:proofErr w:type="gramStart"/>
      <w:r w:rsidRPr="0071332B">
        <w:rPr>
          <w:rFonts w:ascii="Roboto" w:eastAsia="Times New Roman" w:hAnsi="Roboto" w:cs="Times New Roman"/>
          <w:color w:val="202A30"/>
          <w:kern w:val="0"/>
          <w:sz w:val="28"/>
          <w:szCs w:val="28"/>
          <w:lang w:eastAsia="en-GB"/>
          <w14:ligatures w14:val="none"/>
        </w:rPr>
        <w:t>has to</w:t>
      </w:r>
      <w:proofErr w:type="gramEnd"/>
      <w:r w:rsidRPr="0071332B">
        <w:rPr>
          <w:rFonts w:ascii="Roboto" w:eastAsia="Times New Roman" w:hAnsi="Roboto" w:cs="Times New Roman"/>
          <w:color w:val="202A30"/>
          <w:kern w:val="0"/>
          <w:sz w:val="28"/>
          <w:szCs w:val="28"/>
          <w:lang w:eastAsia="en-GB"/>
          <w14:ligatures w14:val="none"/>
        </w:rPr>
        <w:t xml:space="preserve"> be set up by the GP practice, is subject to a number of checks and safeguards.</w:t>
      </w:r>
    </w:p>
    <w:p w14:paraId="5F2D6035" w14:textId="77777777" w:rsidR="0071332B" w:rsidRPr="0071332B" w:rsidRDefault="0071332B" w:rsidP="0071332B">
      <w:pPr>
        <w:spacing w:after="225" w:line="240" w:lineRule="auto"/>
        <w:textAlignment w:val="baseline"/>
        <w:rPr>
          <w:rFonts w:ascii="Roboto" w:eastAsia="Times New Roman" w:hAnsi="Roboto" w:cs="Times New Roman"/>
          <w:color w:val="202A30"/>
          <w:kern w:val="0"/>
          <w:sz w:val="28"/>
          <w:szCs w:val="28"/>
          <w:lang w:eastAsia="en-GB"/>
          <w14:ligatures w14:val="none"/>
        </w:rPr>
      </w:pPr>
      <w:r w:rsidRPr="0071332B">
        <w:rPr>
          <w:rFonts w:ascii="Roboto" w:eastAsia="Times New Roman" w:hAnsi="Roboto" w:cs="Times New Roman"/>
          <w:color w:val="202A30"/>
          <w:kern w:val="0"/>
          <w:sz w:val="28"/>
          <w:szCs w:val="28"/>
          <w:lang w:eastAsia="en-GB"/>
          <w14:ligatures w14:val="none"/>
        </w:rPr>
        <w:t>It is recommended good practice to have formal proxy access arrangements in place, wherever possible.</w:t>
      </w:r>
    </w:p>
    <w:tbl>
      <w:tblPr>
        <w:tblW w:w="10215" w:type="dxa"/>
        <w:tblInd w:w="-603" w:type="dxa"/>
        <w:tblCellMar>
          <w:left w:w="0" w:type="dxa"/>
          <w:right w:w="0" w:type="dxa"/>
        </w:tblCellMar>
        <w:tblLook w:val="04A0" w:firstRow="1" w:lastRow="0" w:firstColumn="1" w:lastColumn="0" w:noHBand="0" w:noVBand="1"/>
      </w:tblPr>
      <w:tblGrid>
        <w:gridCol w:w="5061"/>
        <w:gridCol w:w="5154"/>
      </w:tblGrid>
      <w:tr w:rsidR="0071332B" w:rsidRPr="0071332B" w14:paraId="4625E577" w14:textId="77777777" w:rsidTr="0071332B">
        <w:trPr>
          <w:trHeight w:val="564"/>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6AD0B1FC" w14:textId="77777777" w:rsidR="0071332B" w:rsidRPr="0071332B" w:rsidRDefault="0071332B" w:rsidP="007133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71332B">
              <w:rPr>
                <w:rFonts w:ascii="inherit" w:eastAsia="Times New Roman" w:hAnsi="inherit" w:cs="Times New Roman"/>
                <w:b/>
                <w:bCs/>
                <w:kern w:val="0"/>
                <w:sz w:val="24"/>
                <w:szCs w:val="24"/>
                <w:bdr w:val="none" w:sz="0" w:space="0" w:color="auto" w:frame="1"/>
                <w:lang w:eastAsia="en-GB"/>
                <w14:ligatures w14:val="none"/>
              </w:rPr>
              <w:t>Formal proxy access</w:t>
            </w:r>
          </w:p>
          <w:p w14:paraId="6348FD7E" w14:textId="77777777" w:rsidR="0071332B" w:rsidRPr="0071332B" w:rsidRDefault="0071332B" w:rsidP="007133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71332B">
              <w:rPr>
                <w:rFonts w:ascii="inherit" w:eastAsia="Times New Roman" w:hAnsi="inherit" w:cs="Times New Roman"/>
                <w:b/>
                <w:bCs/>
                <w:kern w:val="0"/>
                <w:sz w:val="24"/>
                <w:szCs w:val="24"/>
                <w:bdr w:val="none" w:sz="0" w:space="0" w:color="auto" w:frame="1"/>
                <w:lang w:eastAsia="en-GB"/>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0231A8D0" w14:textId="77777777" w:rsidR="0071332B" w:rsidRPr="0071332B" w:rsidRDefault="0071332B" w:rsidP="007133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71332B">
              <w:rPr>
                <w:rFonts w:ascii="inherit" w:eastAsia="Times New Roman" w:hAnsi="inherit" w:cs="Times New Roman"/>
                <w:b/>
                <w:bCs/>
                <w:kern w:val="0"/>
                <w:sz w:val="24"/>
                <w:szCs w:val="24"/>
                <w:bdr w:val="none" w:sz="0" w:space="0" w:color="auto" w:frame="1"/>
                <w:lang w:eastAsia="en-GB"/>
                <w14:ligatures w14:val="none"/>
              </w:rPr>
              <w:t>Informal proxy access</w:t>
            </w:r>
          </w:p>
        </w:tc>
      </w:tr>
      <w:tr w:rsidR="0071332B" w:rsidRPr="0071332B" w14:paraId="2EBA45B3" w14:textId="77777777" w:rsidTr="0071332B">
        <w:trPr>
          <w:trHeight w:val="981"/>
        </w:trPr>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bottom"/>
            <w:hideMark/>
          </w:tcPr>
          <w:p w14:paraId="36E0DF06" w14:textId="77777777" w:rsidR="0071332B" w:rsidRPr="0071332B" w:rsidRDefault="0071332B" w:rsidP="0071332B">
            <w:pPr>
              <w:spacing w:after="225" w:line="240" w:lineRule="auto"/>
              <w:textAlignment w:val="baseline"/>
              <w:rPr>
                <w:rFonts w:ascii="Times New Roman" w:eastAsia="Times New Roman" w:hAnsi="Times New Roman" w:cs="Times New Roman"/>
                <w:kern w:val="0"/>
                <w:sz w:val="24"/>
                <w:szCs w:val="24"/>
                <w:lang w:eastAsia="en-GB"/>
                <w14:ligatures w14:val="none"/>
              </w:rPr>
            </w:pPr>
            <w:r w:rsidRPr="0071332B">
              <w:rPr>
                <w:rFonts w:ascii="Times New Roman" w:eastAsia="Times New Roman" w:hAnsi="Times New Roman" w:cs="Times New Roman"/>
                <w:kern w:val="0"/>
                <w:sz w:val="24"/>
                <w:szCs w:val="24"/>
                <w:lang w:eastAsia="en-GB"/>
                <w14:ligatures w14:val="none"/>
              </w:rPr>
              <w:t xml:space="preserve">Proxy has their own account and login </w:t>
            </w:r>
            <w:proofErr w:type="gramStart"/>
            <w:r w:rsidRPr="0071332B">
              <w:rPr>
                <w:rFonts w:ascii="Times New Roman" w:eastAsia="Times New Roman" w:hAnsi="Times New Roman" w:cs="Times New Roman"/>
                <w:kern w:val="0"/>
                <w:sz w:val="24"/>
                <w:szCs w:val="24"/>
                <w:lang w:eastAsia="en-GB"/>
                <w14:ligatures w14:val="none"/>
              </w:rPr>
              <w:t>credentials</w:t>
            </w:r>
            <w:proofErr w:type="gramEnd"/>
          </w:p>
          <w:p w14:paraId="6BD8BD06" w14:textId="77777777" w:rsidR="0071332B" w:rsidRPr="0071332B" w:rsidRDefault="0071332B" w:rsidP="0071332B">
            <w:pPr>
              <w:spacing w:after="225" w:line="240" w:lineRule="auto"/>
              <w:textAlignment w:val="baseline"/>
              <w:rPr>
                <w:rFonts w:ascii="Times New Roman" w:eastAsia="Times New Roman" w:hAnsi="Times New Roman" w:cs="Times New Roman"/>
                <w:kern w:val="0"/>
                <w:sz w:val="24"/>
                <w:szCs w:val="24"/>
                <w:lang w:eastAsia="en-GB"/>
                <w14:ligatures w14:val="none"/>
              </w:rPr>
            </w:pPr>
            <w:r w:rsidRPr="0071332B">
              <w:rPr>
                <w:rFonts w:ascii="Times New Roman" w:eastAsia="Times New Roman" w:hAnsi="Times New Roman" w:cs="Times New Roman"/>
                <w:kern w:val="0"/>
                <w:sz w:val="24"/>
                <w:szCs w:val="24"/>
                <w:lang w:eastAsia="en-GB"/>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bottom"/>
            <w:hideMark/>
          </w:tcPr>
          <w:p w14:paraId="74D872D5" w14:textId="77777777" w:rsidR="0071332B" w:rsidRPr="0071332B" w:rsidRDefault="0071332B" w:rsidP="0071332B">
            <w:pPr>
              <w:spacing w:after="225" w:line="240" w:lineRule="auto"/>
              <w:textAlignment w:val="baseline"/>
              <w:rPr>
                <w:rFonts w:ascii="Times New Roman" w:eastAsia="Times New Roman" w:hAnsi="Times New Roman" w:cs="Times New Roman"/>
                <w:kern w:val="0"/>
                <w:sz w:val="24"/>
                <w:szCs w:val="24"/>
                <w:lang w:eastAsia="en-GB"/>
                <w14:ligatures w14:val="none"/>
              </w:rPr>
            </w:pPr>
            <w:r w:rsidRPr="0071332B">
              <w:rPr>
                <w:rFonts w:ascii="Times New Roman" w:eastAsia="Times New Roman" w:hAnsi="Times New Roman" w:cs="Times New Roman"/>
                <w:kern w:val="0"/>
                <w:sz w:val="24"/>
                <w:szCs w:val="24"/>
                <w:lang w:eastAsia="en-GB"/>
                <w14:ligatures w14:val="none"/>
              </w:rPr>
              <w:t>Proxy uses the patient’s account and login credentials</w:t>
            </w:r>
          </w:p>
        </w:tc>
      </w:tr>
      <w:tr w:rsidR="0071332B" w:rsidRPr="0071332B" w14:paraId="2F2E95F6" w14:textId="77777777" w:rsidTr="0071332B">
        <w:trPr>
          <w:trHeight w:val="2810"/>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3B10A24B" w14:textId="77777777" w:rsidR="0071332B" w:rsidRPr="0071332B" w:rsidRDefault="0071332B" w:rsidP="0071332B">
            <w:pPr>
              <w:spacing w:after="225" w:line="240" w:lineRule="auto"/>
              <w:textAlignment w:val="baseline"/>
              <w:rPr>
                <w:rFonts w:ascii="Times New Roman" w:eastAsia="Times New Roman" w:hAnsi="Times New Roman" w:cs="Times New Roman"/>
                <w:kern w:val="0"/>
                <w:sz w:val="24"/>
                <w:szCs w:val="24"/>
                <w:lang w:eastAsia="en-GB"/>
                <w14:ligatures w14:val="none"/>
              </w:rPr>
            </w:pPr>
            <w:r w:rsidRPr="0071332B">
              <w:rPr>
                <w:rFonts w:ascii="Times New Roman" w:eastAsia="Times New Roman" w:hAnsi="Times New Roman" w:cs="Times New Roman"/>
                <w:kern w:val="0"/>
                <w:sz w:val="24"/>
                <w:szCs w:val="24"/>
                <w:lang w:eastAsia="en-GB"/>
                <w14:ligatures w14:val="none"/>
              </w:rPr>
              <w:t xml:space="preserve">Proxy may be given a level of access tailored to the patient’s wishes and different from that of the patient, </w:t>
            </w:r>
            <w:proofErr w:type="gramStart"/>
            <w:r w:rsidRPr="0071332B">
              <w:rPr>
                <w:rFonts w:ascii="Times New Roman" w:eastAsia="Times New Roman" w:hAnsi="Times New Roman" w:cs="Times New Roman"/>
                <w:kern w:val="0"/>
                <w:sz w:val="24"/>
                <w:szCs w:val="24"/>
                <w:lang w:eastAsia="en-GB"/>
                <w14:ligatures w14:val="none"/>
              </w:rPr>
              <w:t>e.g.</w:t>
            </w:r>
            <w:proofErr w:type="gramEnd"/>
            <w:r w:rsidRPr="0071332B">
              <w:rPr>
                <w:rFonts w:ascii="Times New Roman" w:eastAsia="Times New Roman" w:hAnsi="Times New Roman" w:cs="Times New Roman"/>
                <w:kern w:val="0"/>
                <w:sz w:val="24"/>
                <w:szCs w:val="24"/>
                <w:lang w:eastAsia="en-GB"/>
                <w14:ligatures w14:val="none"/>
              </w:rPr>
              <w:t xml:space="preserve"> only enough access to order repeat prescriptions.</w:t>
            </w:r>
          </w:p>
          <w:p w14:paraId="082EEEEA" w14:textId="77777777" w:rsidR="0071332B" w:rsidRPr="0071332B" w:rsidRDefault="0071332B" w:rsidP="0071332B">
            <w:pPr>
              <w:spacing w:after="225" w:line="240" w:lineRule="auto"/>
              <w:textAlignment w:val="baseline"/>
              <w:rPr>
                <w:rFonts w:ascii="Times New Roman" w:eastAsia="Times New Roman" w:hAnsi="Times New Roman" w:cs="Times New Roman"/>
                <w:kern w:val="0"/>
                <w:sz w:val="24"/>
                <w:szCs w:val="24"/>
                <w:lang w:eastAsia="en-GB"/>
                <w14:ligatures w14:val="none"/>
              </w:rPr>
            </w:pPr>
            <w:r w:rsidRPr="0071332B">
              <w:rPr>
                <w:rFonts w:ascii="Times New Roman" w:eastAsia="Times New Roman" w:hAnsi="Times New Roman" w:cs="Times New Roman"/>
                <w:kern w:val="0"/>
                <w:sz w:val="24"/>
                <w:szCs w:val="24"/>
                <w:lang w:eastAsia="en-GB"/>
                <w14:ligatures w14:val="none"/>
              </w:rPr>
              <w:t> </w:t>
            </w:r>
          </w:p>
          <w:p w14:paraId="0B904E6B" w14:textId="77777777" w:rsidR="0071332B" w:rsidRPr="0071332B" w:rsidRDefault="0071332B" w:rsidP="0071332B">
            <w:pPr>
              <w:spacing w:after="225" w:line="240" w:lineRule="auto"/>
              <w:textAlignment w:val="baseline"/>
              <w:rPr>
                <w:rFonts w:ascii="Times New Roman" w:eastAsia="Times New Roman" w:hAnsi="Times New Roman" w:cs="Times New Roman"/>
                <w:kern w:val="0"/>
                <w:sz w:val="24"/>
                <w:szCs w:val="24"/>
                <w:lang w:eastAsia="en-GB"/>
                <w14:ligatures w14:val="none"/>
              </w:rPr>
            </w:pPr>
            <w:r w:rsidRPr="0071332B">
              <w:rPr>
                <w:rFonts w:ascii="Times New Roman" w:eastAsia="Times New Roman" w:hAnsi="Times New Roman" w:cs="Times New Roman"/>
                <w:kern w:val="0"/>
                <w:sz w:val="24"/>
                <w:szCs w:val="24"/>
                <w:lang w:eastAsia="en-GB"/>
                <w14:ligatures w14:val="none"/>
              </w:rPr>
              <w:t>A patient may choose to have more than one proxy, and each can have a different level of access.</w:t>
            </w:r>
          </w:p>
          <w:p w14:paraId="3A1D1652" w14:textId="77777777" w:rsidR="0071332B" w:rsidRPr="0071332B" w:rsidRDefault="0071332B" w:rsidP="0071332B">
            <w:pPr>
              <w:spacing w:after="225" w:line="240" w:lineRule="auto"/>
              <w:textAlignment w:val="baseline"/>
              <w:rPr>
                <w:rFonts w:ascii="Times New Roman" w:eastAsia="Times New Roman" w:hAnsi="Times New Roman" w:cs="Times New Roman"/>
                <w:kern w:val="0"/>
                <w:sz w:val="24"/>
                <w:szCs w:val="24"/>
                <w:lang w:eastAsia="en-GB"/>
                <w14:ligatures w14:val="none"/>
              </w:rPr>
            </w:pPr>
            <w:r w:rsidRPr="0071332B">
              <w:rPr>
                <w:rFonts w:ascii="Times New Roman" w:eastAsia="Times New Roman" w:hAnsi="Times New Roman" w:cs="Times New Roman"/>
                <w:kern w:val="0"/>
                <w:sz w:val="24"/>
                <w:szCs w:val="24"/>
                <w:lang w:eastAsia="en-GB"/>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08EE0B27" w14:textId="77777777" w:rsidR="0071332B" w:rsidRPr="0071332B" w:rsidRDefault="0071332B" w:rsidP="0071332B">
            <w:pPr>
              <w:spacing w:after="225" w:line="240" w:lineRule="auto"/>
              <w:textAlignment w:val="baseline"/>
              <w:rPr>
                <w:rFonts w:ascii="Times New Roman" w:eastAsia="Times New Roman" w:hAnsi="Times New Roman" w:cs="Times New Roman"/>
                <w:kern w:val="0"/>
                <w:sz w:val="24"/>
                <w:szCs w:val="24"/>
                <w:lang w:eastAsia="en-GB"/>
                <w14:ligatures w14:val="none"/>
              </w:rPr>
            </w:pPr>
            <w:r w:rsidRPr="0071332B">
              <w:rPr>
                <w:rFonts w:ascii="Times New Roman" w:eastAsia="Times New Roman" w:hAnsi="Times New Roman" w:cs="Times New Roman"/>
                <w:kern w:val="0"/>
                <w:sz w:val="24"/>
                <w:szCs w:val="24"/>
                <w:lang w:eastAsia="en-GB"/>
                <w14:ligatures w14:val="none"/>
              </w:rPr>
              <w:t>Proxy has exactly same level of access as the patient</w:t>
            </w:r>
          </w:p>
        </w:tc>
      </w:tr>
      <w:tr w:rsidR="0071332B" w:rsidRPr="0071332B" w14:paraId="671AEB32" w14:textId="77777777" w:rsidTr="0071332B">
        <w:trPr>
          <w:trHeight w:val="1263"/>
        </w:trPr>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bottom"/>
            <w:hideMark/>
          </w:tcPr>
          <w:p w14:paraId="293BBA16" w14:textId="77777777" w:rsidR="0071332B" w:rsidRPr="0071332B" w:rsidRDefault="0071332B" w:rsidP="0071332B">
            <w:pPr>
              <w:spacing w:after="225" w:line="240" w:lineRule="auto"/>
              <w:textAlignment w:val="baseline"/>
              <w:rPr>
                <w:rFonts w:ascii="Times New Roman" w:eastAsia="Times New Roman" w:hAnsi="Times New Roman" w:cs="Times New Roman"/>
                <w:kern w:val="0"/>
                <w:sz w:val="24"/>
                <w:szCs w:val="24"/>
                <w:lang w:eastAsia="en-GB"/>
                <w14:ligatures w14:val="none"/>
              </w:rPr>
            </w:pPr>
            <w:r w:rsidRPr="0071332B">
              <w:rPr>
                <w:rFonts w:ascii="Times New Roman" w:eastAsia="Times New Roman" w:hAnsi="Times New Roman" w:cs="Times New Roman"/>
                <w:kern w:val="0"/>
                <w:sz w:val="24"/>
                <w:szCs w:val="24"/>
                <w:lang w:eastAsia="en-GB"/>
                <w14:ligatures w14:val="none"/>
              </w:rPr>
              <w:t xml:space="preserve">GP computer system may offer an audit trail of who has accessed the patient’s </w:t>
            </w:r>
            <w:proofErr w:type="gramStart"/>
            <w:r w:rsidRPr="0071332B">
              <w:rPr>
                <w:rFonts w:ascii="Times New Roman" w:eastAsia="Times New Roman" w:hAnsi="Times New Roman" w:cs="Times New Roman"/>
                <w:kern w:val="0"/>
                <w:sz w:val="24"/>
                <w:szCs w:val="24"/>
                <w:lang w:eastAsia="en-GB"/>
                <w14:ligatures w14:val="none"/>
              </w:rPr>
              <w:t>account</w:t>
            </w:r>
            <w:proofErr w:type="gramEnd"/>
          </w:p>
          <w:p w14:paraId="735EAEE9" w14:textId="77777777" w:rsidR="0071332B" w:rsidRPr="0071332B" w:rsidRDefault="0071332B" w:rsidP="0071332B">
            <w:pPr>
              <w:spacing w:after="225" w:line="240" w:lineRule="auto"/>
              <w:textAlignment w:val="baseline"/>
              <w:rPr>
                <w:rFonts w:ascii="Times New Roman" w:eastAsia="Times New Roman" w:hAnsi="Times New Roman" w:cs="Times New Roman"/>
                <w:kern w:val="0"/>
                <w:sz w:val="24"/>
                <w:szCs w:val="24"/>
                <w:lang w:eastAsia="en-GB"/>
                <w14:ligatures w14:val="none"/>
              </w:rPr>
            </w:pPr>
            <w:r w:rsidRPr="0071332B">
              <w:rPr>
                <w:rFonts w:ascii="Times New Roman" w:eastAsia="Times New Roman" w:hAnsi="Times New Roman" w:cs="Times New Roman"/>
                <w:kern w:val="0"/>
                <w:sz w:val="24"/>
                <w:szCs w:val="24"/>
                <w:lang w:eastAsia="en-GB"/>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bottom"/>
            <w:hideMark/>
          </w:tcPr>
          <w:p w14:paraId="12692772" w14:textId="77777777" w:rsidR="0071332B" w:rsidRPr="0071332B" w:rsidRDefault="0071332B" w:rsidP="0071332B">
            <w:pPr>
              <w:spacing w:after="225" w:line="240" w:lineRule="auto"/>
              <w:textAlignment w:val="baseline"/>
              <w:rPr>
                <w:rFonts w:ascii="Times New Roman" w:eastAsia="Times New Roman" w:hAnsi="Times New Roman" w:cs="Times New Roman"/>
                <w:kern w:val="0"/>
                <w:sz w:val="24"/>
                <w:szCs w:val="24"/>
                <w:lang w:eastAsia="en-GB"/>
                <w14:ligatures w14:val="none"/>
              </w:rPr>
            </w:pPr>
            <w:r w:rsidRPr="0071332B">
              <w:rPr>
                <w:rFonts w:ascii="Times New Roman" w:eastAsia="Times New Roman" w:hAnsi="Times New Roman" w:cs="Times New Roman"/>
                <w:kern w:val="0"/>
                <w:sz w:val="24"/>
                <w:szCs w:val="24"/>
                <w:lang w:eastAsia="en-GB"/>
                <w14:ligatures w14:val="none"/>
              </w:rPr>
              <w:t>No audit trail showing who has accessed the patient’s record, only that the record has been accessed through the patient’s online account.</w:t>
            </w:r>
          </w:p>
        </w:tc>
      </w:tr>
      <w:tr w:rsidR="0071332B" w:rsidRPr="0071332B" w14:paraId="73149108" w14:textId="77777777" w:rsidTr="0071332B">
        <w:trPr>
          <w:trHeight w:val="1546"/>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0EBDD281" w14:textId="77777777" w:rsidR="0071332B" w:rsidRPr="0071332B" w:rsidRDefault="0071332B" w:rsidP="0071332B">
            <w:pPr>
              <w:spacing w:after="225" w:line="240" w:lineRule="auto"/>
              <w:textAlignment w:val="baseline"/>
              <w:rPr>
                <w:rFonts w:ascii="Times New Roman" w:eastAsia="Times New Roman" w:hAnsi="Times New Roman" w:cs="Times New Roman"/>
                <w:kern w:val="0"/>
                <w:sz w:val="24"/>
                <w:szCs w:val="24"/>
                <w:lang w:eastAsia="en-GB"/>
                <w14:ligatures w14:val="none"/>
              </w:rPr>
            </w:pPr>
            <w:r w:rsidRPr="0071332B">
              <w:rPr>
                <w:rFonts w:ascii="Times New Roman" w:eastAsia="Times New Roman" w:hAnsi="Times New Roman" w:cs="Times New Roman"/>
                <w:kern w:val="0"/>
                <w:sz w:val="24"/>
                <w:szCs w:val="24"/>
                <w:lang w:eastAsia="en-GB"/>
                <w14:ligatures w14:val="none"/>
              </w:rPr>
              <w:t>If needed, the practice may withdraw the proxy access at any time without affecting the patient’s access</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23416393" w14:textId="77777777" w:rsidR="0071332B" w:rsidRPr="0071332B" w:rsidRDefault="0071332B" w:rsidP="0071332B">
            <w:pPr>
              <w:spacing w:after="225" w:line="240" w:lineRule="auto"/>
              <w:textAlignment w:val="baseline"/>
              <w:rPr>
                <w:rFonts w:ascii="Times New Roman" w:eastAsia="Times New Roman" w:hAnsi="Times New Roman" w:cs="Times New Roman"/>
                <w:kern w:val="0"/>
                <w:sz w:val="24"/>
                <w:szCs w:val="24"/>
                <w:lang w:eastAsia="en-GB"/>
                <w14:ligatures w14:val="none"/>
              </w:rPr>
            </w:pPr>
            <w:r w:rsidRPr="0071332B">
              <w:rPr>
                <w:rFonts w:ascii="Times New Roman" w:eastAsia="Times New Roman" w:hAnsi="Times New Roman" w:cs="Times New Roman"/>
                <w:kern w:val="0"/>
                <w:sz w:val="24"/>
                <w:szCs w:val="24"/>
                <w:lang w:eastAsia="en-GB"/>
                <w14:ligatures w14:val="none"/>
              </w:rPr>
              <w:t xml:space="preserve">Practice can only withdraw the proxy’s access by switching off the patient’s access.  Patient’s access can be reinstated with a new set of </w:t>
            </w:r>
            <w:proofErr w:type="gramStart"/>
            <w:r w:rsidRPr="0071332B">
              <w:rPr>
                <w:rFonts w:ascii="Times New Roman" w:eastAsia="Times New Roman" w:hAnsi="Times New Roman" w:cs="Times New Roman"/>
                <w:kern w:val="0"/>
                <w:sz w:val="24"/>
                <w:szCs w:val="24"/>
                <w:lang w:eastAsia="en-GB"/>
                <w14:ligatures w14:val="none"/>
              </w:rPr>
              <w:t>login</w:t>
            </w:r>
            <w:proofErr w:type="gramEnd"/>
            <w:r w:rsidRPr="0071332B">
              <w:rPr>
                <w:rFonts w:ascii="Times New Roman" w:eastAsia="Times New Roman" w:hAnsi="Times New Roman" w:cs="Times New Roman"/>
                <w:kern w:val="0"/>
                <w:sz w:val="24"/>
                <w:szCs w:val="24"/>
                <w:lang w:eastAsia="en-GB"/>
                <w14:ligatures w14:val="none"/>
              </w:rPr>
              <w:t xml:space="preserve"> credentials</w:t>
            </w:r>
          </w:p>
          <w:p w14:paraId="1E95C789" w14:textId="77777777" w:rsidR="0071332B" w:rsidRPr="0071332B" w:rsidRDefault="0071332B" w:rsidP="0071332B">
            <w:pPr>
              <w:spacing w:after="225" w:line="240" w:lineRule="auto"/>
              <w:textAlignment w:val="baseline"/>
              <w:rPr>
                <w:rFonts w:ascii="Times New Roman" w:eastAsia="Times New Roman" w:hAnsi="Times New Roman" w:cs="Times New Roman"/>
                <w:kern w:val="0"/>
                <w:sz w:val="24"/>
                <w:szCs w:val="24"/>
                <w:lang w:eastAsia="en-GB"/>
                <w14:ligatures w14:val="none"/>
              </w:rPr>
            </w:pPr>
            <w:r w:rsidRPr="0071332B">
              <w:rPr>
                <w:rFonts w:ascii="Times New Roman" w:eastAsia="Times New Roman" w:hAnsi="Times New Roman" w:cs="Times New Roman"/>
                <w:kern w:val="0"/>
                <w:sz w:val="24"/>
                <w:szCs w:val="24"/>
                <w:lang w:eastAsia="en-GB"/>
                <w14:ligatures w14:val="none"/>
              </w:rPr>
              <w:t> </w:t>
            </w:r>
          </w:p>
        </w:tc>
      </w:tr>
    </w:tbl>
    <w:p w14:paraId="1E4E89D3" w14:textId="77777777" w:rsidR="0071332B" w:rsidRPr="0071332B" w:rsidRDefault="0071332B" w:rsidP="0071332B">
      <w:pPr>
        <w:shd w:val="clear" w:color="auto" w:fill="FFFFFF"/>
        <w:spacing w:before="120" w:after="180" w:line="240" w:lineRule="auto"/>
        <w:textAlignment w:val="baseline"/>
        <w:outlineLvl w:val="1"/>
        <w:rPr>
          <w:rFonts w:ascii="Roboto" w:eastAsia="Times New Roman" w:hAnsi="Roboto" w:cs="Times New Roman"/>
          <w:b/>
          <w:bCs/>
          <w:color w:val="003087"/>
          <w:kern w:val="0"/>
          <w:sz w:val="41"/>
          <w:szCs w:val="41"/>
          <w:lang w:eastAsia="en-GB"/>
          <w14:ligatures w14:val="none"/>
        </w:rPr>
      </w:pPr>
      <w:r w:rsidRPr="0071332B">
        <w:rPr>
          <w:rFonts w:ascii="Roboto" w:eastAsia="Times New Roman" w:hAnsi="Roboto" w:cs="Times New Roman"/>
          <w:b/>
          <w:bCs/>
          <w:color w:val="003087"/>
          <w:kern w:val="0"/>
          <w:sz w:val="41"/>
          <w:szCs w:val="41"/>
          <w:lang w:eastAsia="en-GB"/>
          <w14:ligatures w14:val="none"/>
        </w:rPr>
        <w:lastRenderedPageBreak/>
        <w:t>Setting up formal proxy access</w:t>
      </w:r>
    </w:p>
    <w:p w14:paraId="460A17CD" w14:textId="77777777" w:rsidR="0071332B" w:rsidRPr="0071332B" w:rsidRDefault="0071332B" w:rsidP="0071332B">
      <w:pPr>
        <w:shd w:val="clear" w:color="auto" w:fill="FFFFFF"/>
        <w:spacing w:after="225" w:line="240" w:lineRule="auto"/>
        <w:textAlignment w:val="baseline"/>
        <w:rPr>
          <w:rFonts w:ascii="Roboto" w:eastAsia="Times New Roman" w:hAnsi="Roboto" w:cs="Times New Roman"/>
          <w:color w:val="202A30"/>
          <w:kern w:val="0"/>
          <w:sz w:val="28"/>
          <w:szCs w:val="28"/>
          <w:lang w:eastAsia="en-GB"/>
          <w14:ligatures w14:val="none"/>
        </w:rPr>
      </w:pPr>
      <w:r w:rsidRPr="0071332B">
        <w:rPr>
          <w:rFonts w:ascii="Roboto" w:eastAsia="Times New Roman" w:hAnsi="Roboto" w:cs="Times New Roman"/>
          <w:color w:val="202A30"/>
          <w:kern w:val="0"/>
          <w:sz w:val="28"/>
          <w:szCs w:val="28"/>
          <w:lang w:eastAsia="en-GB"/>
          <w14:ligatures w14:val="none"/>
        </w:rPr>
        <w:t xml:space="preserve">Before a formal proxy access account is set up, </w:t>
      </w:r>
      <w:proofErr w:type="gramStart"/>
      <w:r w:rsidRPr="0071332B">
        <w:rPr>
          <w:rFonts w:ascii="Roboto" w:eastAsia="Times New Roman" w:hAnsi="Roboto" w:cs="Times New Roman"/>
          <w:color w:val="202A30"/>
          <w:kern w:val="0"/>
          <w:sz w:val="28"/>
          <w:szCs w:val="28"/>
          <w:lang w:eastAsia="en-GB"/>
          <w14:ligatures w14:val="none"/>
        </w:rPr>
        <w:t>a number of</w:t>
      </w:r>
      <w:proofErr w:type="gramEnd"/>
      <w:r w:rsidRPr="0071332B">
        <w:rPr>
          <w:rFonts w:ascii="Roboto" w:eastAsia="Times New Roman" w:hAnsi="Roboto" w:cs="Times New Roman"/>
          <w:color w:val="202A30"/>
          <w:kern w:val="0"/>
          <w:sz w:val="28"/>
          <w:szCs w:val="28"/>
          <w:lang w:eastAsia="en-GB"/>
          <w14:ligatures w14:val="none"/>
        </w:rPr>
        <w:t xml:space="preserve"> checks and safeguarding steps need to be taken.</w:t>
      </w:r>
    </w:p>
    <w:tbl>
      <w:tblPr>
        <w:tblW w:w="10019" w:type="dxa"/>
        <w:tblCellMar>
          <w:left w:w="0" w:type="dxa"/>
          <w:right w:w="0" w:type="dxa"/>
        </w:tblCellMar>
        <w:tblLook w:val="04A0" w:firstRow="1" w:lastRow="0" w:firstColumn="1" w:lastColumn="0" w:noHBand="0" w:noVBand="1"/>
      </w:tblPr>
      <w:tblGrid>
        <w:gridCol w:w="2245"/>
        <w:gridCol w:w="7774"/>
      </w:tblGrid>
      <w:tr w:rsidR="0071332B" w:rsidRPr="0071332B" w14:paraId="262709F6" w14:textId="77777777" w:rsidTr="0071332B">
        <w:trPr>
          <w:trHeight w:val="568"/>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0C3FFD80" w14:textId="77777777" w:rsidR="0071332B" w:rsidRPr="0071332B" w:rsidRDefault="0071332B" w:rsidP="007133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71332B">
              <w:rPr>
                <w:rFonts w:ascii="inherit" w:eastAsia="Times New Roman" w:hAnsi="inherit" w:cs="Times New Roman"/>
                <w:b/>
                <w:bCs/>
                <w:kern w:val="0"/>
                <w:sz w:val="24"/>
                <w:szCs w:val="24"/>
                <w:bdr w:val="none" w:sz="0" w:space="0" w:color="auto" w:frame="1"/>
                <w:lang w:eastAsia="en-GB"/>
                <w14:ligatures w14:val="none"/>
              </w:rPr>
              <w:t>Steps</w:t>
            </w:r>
          </w:p>
          <w:p w14:paraId="0DECCBCE" w14:textId="77777777" w:rsidR="0071332B" w:rsidRPr="0071332B" w:rsidRDefault="0071332B" w:rsidP="007133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71332B">
              <w:rPr>
                <w:rFonts w:ascii="inherit" w:eastAsia="Times New Roman" w:hAnsi="inherit" w:cs="Times New Roman"/>
                <w:b/>
                <w:bCs/>
                <w:kern w:val="0"/>
                <w:sz w:val="24"/>
                <w:szCs w:val="24"/>
                <w:bdr w:val="none" w:sz="0" w:space="0" w:color="auto" w:frame="1"/>
                <w:lang w:eastAsia="en-GB"/>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50534912" w14:textId="77777777" w:rsidR="0071332B" w:rsidRPr="0071332B" w:rsidRDefault="0071332B" w:rsidP="007133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71332B">
              <w:rPr>
                <w:rFonts w:ascii="inherit" w:eastAsia="Times New Roman" w:hAnsi="inherit" w:cs="Times New Roman"/>
                <w:b/>
                <w:bCs/>
                <w:kern w:val="0"/>
                <w:sz w:val="24"/>
                <w:szCs w:val="24"/>
                <w:bdr w:val="none" w:sz="0" w:space="0" w:color="auto" w:frame="1"/>
                <w:lang w:eastAsia="en-GB"/>
                <w14:ligatures w14:val="none"/>
              </w:rPr>
              <w:t>Considerations and questions</w:t>
            </w:r>
          </w:p>
        </w:tc>
      </w:tr>
      <w:tr w:rsidR="0071332B" w:rsidRPr="0071332B" w14:paraId="62A43C5B" w14:textId="77777777" w:rsidTr="0071332B">
        <w:trPr>
          <w:trHeight w:val="1600"/>
        </w:trPr>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bottom"/>
            <w:hideMark/>
          </w:tcPr>
          <w:p w14:paraId="42B5F4B7" w14:textId="77777777" w:rsidR="0071332B" w:rsidRPr="0071332B" w:rsidRDefault="0071332B" w:rsidP="007133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71332B">
              <w:rPr>
                <w:rFonts w:ascii="inherit" w:eastAsia="Times New Roman" w:hAnsi="inherit" w:cs="Times New Roman"/>
                <w:b/>
                <w:bCs/>
                <w:kern w:val="0"/>
                <w:sz w:val="24"/>
                <w:szCs w:val="24"/>
                <w:bdr w:val="none" w:sz="0" w:space="0" w:color="auto" w:frame="1"/>
                <w:lang w:eastAsia="en-GB"/>
                <w14:ligatures w14:val="none"/>
              </w:rPr>
              <w:t>Step 1 Coercion</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bottom"/>
            <w:hideMark/>
          </w:tcPr>
          <w:p w14:paraId="5979DBDB" w14:textId="77777777" w:rsidR="0071332B" w:rsidRPr="0071332B" w:rsidRDefault="0071332B" w:rsidP="007133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71332B">
              <w:rPr>
                <w:rFonts w:ascii="Times New Roman" w:eastAsia="Times New Roman" w:hAnsi="Times New Roman" w:cs="Times New Roman"/>
                <w:kern w:val="0"/>
                <w:sz w:val="24"/>
                <w:szCs w:val="24"/>
                <w:lang w:eastAsia="en-GB"/>
                <w14:ligatures w14:val="none"/>
              </w:rPr>
              <w:t>Consider the possibility of </w:t>
            </w:r>
            <w:hyperlink r:id="rId5" w:history="1">
              <w:r w:rsidRPr="0071332B">
                <w:rPr>
                  <w:rFonts w:ascii="Times New Roman" w:eastAsia="Times New Roman" w:hAnsi="Times New Roman" w:cs="Times New Roman"/>
                  <w:b/>
                  <w:bCs/>
                  <w:color w:val="000000" w:themeColor="text1"/>
                  <w:kern w:val="0"/>
                  <w:sz w:val="24"/>
                  <w:szCs w:val="24"/>
                  <w:u w:val="single"/>
                  <w:bdr w:val="none" w:sz="0" w:space="0" w:color="auto" w:frame="1"/>
                  <w:lang w:eastAsia="en-GB"/>
                  <w14:ligatures w14:val="none"/>
                </w:rPr>
                <w:t>coercion</w:t>
              </w:r>
            </w:hyperlink>
            <w:r w:rsidRPr="0071332B">
              <w:rPr>
                <w:rFonts w:ascii="Times New Roman" w:eastAsia="Times New Roman" w:hAnsi="Times New Roman" w:cs="Times New Roman"/>
                <w:b/>
                <w:bCs/>
                <w:color w:val="000000" w:themeColor="text1"/>
                <w:kern w:val="0"/>
                <w:sz w:val="24"/>
                <w:szCs w:val="24"/>
                <w:lang w:eastAsia="en-GB"/>
                <w14:ligatures w14:val="none"/>
              </w:rPr>
              <w:t>.</w:t>
            </w:r>
            <w:r w:rsidRPr="0071332B">
              <w:rPr>
                <w:rFonts w:ascii="Times New Roman" w:eastAsia="Times New Roman" w:hAnsi="Times New Roman" w:cs="Times New Roman"/>
                <w:color w:val="000000" w:themeColor="text1"/>
                <w:kern w:val="0"/>
                <w:sz w:val="24"/>
                <w:szCs w:val="24"/>
                <w:lang w:eastAsia="en-GB"/>
                <w14:ligatures w14:val="none"/>
              </w:rPr>
              <w:t xml:space="preserve">  </w:t>
            </w:r>
            <w:r w:rsidRPr="0071332B">
              <w:rPr>
                <w:rFonts w:ascii="Times New Roman" w:eastAsia="Times New Roman" w:hAnsi="Times New Roman" w:cs="Times New Roman"/>
                <w:kern w:val="0"/>
                <w:sz w:val="24"/>
                <w:szCs w:val="24"/>
                <w:lang w:eastAsia="en-GB"/>
                <w14:ligatures w14:val="none"/>
              </w:rPr>
              <w:t xml:space="preserve">The patient should be asked to confirm they are willing for proxy access to be given.  Their response should be recorded on the consent form (Step 3 explains the situation </w:t>
            </w:r>
            <w:proofErr w:type="gramStart"/>
            <w:r w:rsidRPr="0071332B">
              <w:rPr>
                <w:rFonts w:ascii="Times New Roman" w:eastAsia="Times New Roman" w:hAnsi="Times New Roman" w:cs="Times New Roman"/>
                <w:kern w:val="0"/>
                <w:sz w:val="24"/>
                <w:szCs w:val="24"/>
                <w:lang w:eastAsia="en-GB"/>
                <w14:ligatures w14:val="none"/>
              </w:rPr>
              <w:t>were</w:t>
            </w:r>
            <w:proofErr w:type="gramEnd"/>
            <w:r w:rsidRPr="0071332B">
              <w:rPr>
                <w:rFonts w:ascii="Times New Roman" w:eastAsia="Times New Roman" w:hAnsi="Times New Roman" w:cs="Times New Roman"/>
                <w:kern w:val="0"/>
                <w:sz w:val="24"/>
                <w:szCs w:val="24"/>
                <w:lang w:eastAsia="en-GB"/>
                <w14:ligatures w14:val="none"/>
              </w:rPr>
              <w:t xml:space="preserve"> a patient does not have the ability or capacity to give this assurance).</w:t>
            </w:r>
          </w:p>
          <w:p w14:paraId="32F4566C" w14:textId="77777777" w:rsidR="0071332B" w:rsidRPr="0071332B" w:rsidRDefault="0071332B" w:rsidP="0071332B">
            <w:pPr>
              <w:spacing w:after="225" w:line="240" w:lineRule="auto"/>
              <w:textAlignment w:val="baseline"/>
              <w:rPr>
                <w:rFonts w:ascii="Times New Roman" w:eastAsia="Times New Roman" w:hAnsi="Times New Roman" w:cs="Times New Roman"/>
                <w:kern w:val="0"/>
                <w:sz w:val="24"/>
                <w:szCs w:val="24"/>
                <w:lang w:eastAsia="en-GB"/>
                <w14:ligatures w14:val="none"/>
              </w:rPr>
            </w:pPr>
            <w:r w:rsidRPr="0071332B">
              <w:rPr>
                <w:rFonts w:ascii="Times New Roman" w:eastAsia="Times New Roman" w:hAnsi="Times New Roman" w:cs="Times New Roman"/>
                <w:kern w:val="0"/>
                <w:sz w:val="24"/>
                <w:szCs w:val="24"/>
                <w:lang w:eastAsia="en-GB"/>
                <w14:ligatures w14:val="none"/>
              </w:rPr>
              <w:t> </w:t>
            </w:r>
          </w:p>
        </w:tc>
      </w:tr>
      <w:tr w:rsidR="0071332B" w:rsidRPr="0071332B" w14:paraId="4112AC72" w14:textId="77777777" w:rsidTr="0071332B">
        <w:trPr>
          <w:trHeight w:val="1540"/>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51AC6811" w14:textId="77777777" w:rsidR="0071332B" w:rsidRPr="0071332B" w:rsidRDefault="0071332B" w:rsidP="007133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71332B">
              <w:rPr>
                <w:rFonts w:ascii="inherit" w:eastAsia="Times New Roman" w:hAnsi="inherit" w:cs="Times New Roman"/>
                <w:b/>
                <w:bCs/>
                <w:kern w:val="0"/>
                <w:sz w:val="24"/>
                <w:szCs w:val="24"/>
                <w:bdr w:val="none" w:sz="0" w:space="0" w:color="auto" w:frame="1"/>
                <w:lang w:eastAsia="en-GB"/>
                <w14:ligatures w14:val="none"/>
              </w:rPr>
              <w:t>Step 2 Consent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5E213B6D" w14:textId="77777777" w:rsidR="0071332B" w:rsidRPr="0071332B" w:rsidRDefault="0071332B" w:rsidP="0071332B">
            <w:pPr>
              <w:spacing w:after="225" w:line="240" w:lineRule="auto"/>
              <w:textAlignment w:val="baseline"/>
              <w:rPr>
                <w:rFonts w:ascii="Times New Roman" w:eastAsia="Times New Roman" w:hAnsi="Times New Roman" w:cs="Times New Roman"/>
                <w:kern w:val="0"/>
                <w:sz w:val="24"/>
                <w:szCs w:val="24"/>
                <w:lang w:eastAsia="en-GB"/>
                <w14:ligatures w14:val="none"/>
              </w:rPr>
            </w:pPr>
            <w:r w:rsidRPr="0071332B">
              <w:rPr>
                <w:rFonts w:ascii="Times New Roman" w:eastAsia="Times New Roman" w:hAnsi="Times New Roman" w:cs="Times New Roman"/>
                <w:kern w:val="0"/>
                <w:sz w:val="24"/>
                <w:szCs w:val="24"/>
                <w:lang w:eastAsia="en-GB"/>
                <w14:ligatures w14:val="none"/>
              </w:rPr>
              <w:t>Can and does the patient explicitly consent to the sharing of online access to their record?  The patient should complete and sign the consent form which should be scanned into their record.</w:t>
            </w:r>
          </w:p>
          <w:p w14:paraId="3BF1A9FA" w14:textId="77777777" w:rsidR="0071332B" w:rsidRPr="0071332B" w:rsidRDefault="0071332B" w:rsidP="0071332B">
            <w:pPr>
              <w:spacing w:after="225" w:line="240" w:lineRule="auto"/>
              <w:textAlignment w:val="baseline"/>
              <w:rPr>
                <w:rFonts w:ascii="Times New Roman" w:eastAsia="Times New Roman" w:hAnsi="Times New Roman" w:cs="Times New Roman"/>
                <w:kern w:val="0"/>
                <w:sz w:val="24"/>
                <w:szCs w:val="24"/>
                <w:lang w:eastAsia="en-GB"/>
                <w14:ligatures w14:val="none"/>
              </w:rPr>
            </w:pPr>
            <w:r w:rsidRPr="0071332B">
              <w:rPr>
                <w:rFonts w:ascii="Times New Roman" w:eastAsia="Times New Roman" w:hAnsi="Times New Roman" w:cs="Times New Roman"/>
                <w:kern w:val="0"/>
                <w:sz w:val="24"/>
                <w:szCs w:val="24"/>
                <w:lang w:eastAsia="en-GB"/>
                <w14:ligatures w14:val="none"/>
              </w:rPr>
              <w:t> </w:t>
            </w:r>
          </w:p>
        </w:tc>
      </w:tr>
      <w:tr w:rsidR="0071332B" w:rsidRPr="0071332B" w14:paraId="7A0A2248" w14:textId="77777777" w:rsidTr="0071332B">
        <w:trPr>
          <w:trHeight w:val="2094"/>
        </w:trPr>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bottom"/>
            <w:hideMark/>
          </w:tcPr>
          <w:p w14:paraId="046E55FA" w14:textId="77777777" w:rsidR="0071332B" w:rsidRPr="0071332B" w:rsidRDefault="0071332B" w:rsidP="007133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71332B">
              <w:rPr>
                <w:rFonts w:ascii="inherit" w:eastAsia="Times New Roman" w:hAnsi="inherit" w:cs="Times New Roman"/>
                <w:b/>
                <w:bCs/>
                <w:kern w:val="0"/>
                <w:sz w:val="24"/>
                <w:szCs w:val="24"/>
                <w:bdr w:val="none" w:sz="0" w:space="0" w:color="auto" w:frame="1"/>
                <w:lang w:eastAsia="en-GB"/>
                <w14:ligatures w14:val="none"/>
              </w:rPr>
              <w:t>Step 3 Capacity</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bottom"/>
            <w:hideMark/>
          </w:tcPr>
          <w:p w14:paraId="17E51304" w14:textId="77777777" w:rsidR="0071332B" w:rsidRPr="0071332B" w:rsidRDefault="0071332B" w:rsidP="0071332B">
            <w:pPr>
              <w:spacing w:after="225" w:line="240" w:lineRule="auto"/>
              <w:textAlignment w:val="baseline"/>
              <w:rPr>
                <w:rFonts w:ascii="Times New Roman" w:eastAsia="Times New Roman" w:hAnsi="Times New Roman" w:cs="Times New Roman"/>
                <w:kern w:val="0"/>
                <w:sz w:val="24"/>
                <w:szCs w:val="24"/>
                <w:lang w:eastAsia="en-GB"/>
                <w14:ligatures w14:val="none"/>
              </w:rPr>
            </w:pPr>
            <w:r w:rsidRPr="0071332B">
              <w:rPr>
                <w:rFonts w:ascii="Times New Roman" w:eastAsia="Times New Roman" w:hAnsi="Times New Roman" w:cs="Times New Roman"/>
                <w:kern w:val="0"/>
                <w:sz w:val="24"/>
                <w:szCs w:val="24"/>
                <w:lang w:eastAsia="en-GB"/>
                <w14:ligatures w14:val="none"/>
              </w:rPr>
              <w:t>If the patient is judged by a GP to lack the capacity to consent (which must be a clinical decision) are there clear benefits to the patient of proxy access being granted?  Does the proxy have a legitimate reason to have proxy access (ideally because they have lasting power of attorney or a court appointment)?  Answers should be recorded clearly in the patient’s notes.</w:t>
            </w:r>
          </w:p>
          <w:p w14:paraId="4A1746F6" w14:textId="77777777" w:rsidR="0071332B" w:rsidRPr="0071332B" w:rsidRDefault="0071332B" w:rsidP="0071332B">
            <w:pPr>
              <w:spacing w:after="225" w:line="240" w:lineRule="auto"/>
              <w:textAlignment w:val="baseline"/>
              <w:rPr>
                <w:rFonts w:ascii="Times New Roman" w:eastAsia="Times New Roman" w:hAnsi="Times New Roman" w:cs="Times New Roman"/>
                <w:kern w:val="0"/>
                <w:sz w:val="24"/>
                <w:szCs w:val="24"/>
                <w:lang w:eastAsia="en-GB"/>
                <w14:ligatures w14:val="none"/>
              </w:rPr>
            </w:pPr>
            <w:r w:rsidRPr="0071332B">
              <w:rPr>
                <w:rFonts w:ascii="Times New Roman" w:eastAsia="Times New Roman" w:hAnsi="Times New Roman" w:cs="Times New Roman"/>
                <w:kern w:val="0"/>
                <w:sz w:val="24"/>
                <w:szCs w:val="24"/>
                <w:lang w:eastAsia="en-GB"/>
                <w14:ligatures w14:val="none"/>
              </w:rPr>
              <w:t> </w:t>
            </w:r>
          </w:p>
        </w:tc>
      </w:tr>
      <w:tr w:rsidR="0071332B" w:rsidRPr="0071332B" w14:paraId="27D6A90A" w14:textId="77777777" w:rsidTr="0071332B">
        <w:trPr>
          <w:trHeight w:val="4832"/>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71D218F7" w14:textId="77777777" w:rsidR="0071332B" w:rsidRPr="0071332B" w:rsidRDefault="0071332B" w:rsidP="007133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71332B">
              <w:rPr>
                <w:rFonts w:ascii="inherit" w:eastAsia="Times New Roman" w:hAnsi="inherit" w:cs="Times New Roman"/>
                <w:b/>
                <w:bCs/>
                <w:kern w:val="0"/>
                <w:sz w:val="24"/>
                <w:szCs w:val="24"/>
                <w:bdr w:val="none" w:sz="0" w:space="0" w:color="auto" w:frame="1"/>
                <w:lang w:eastAsia="en-GB"/>
                <w14:ligatures w14:val="none"/>
              </w:rPr>
              <w:t>Step 4 Level of access</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2414C2D4" w14:textId="77777777" w:rsidR="0071332B" w:rsidRPr="0071332B" w:rsidRDefault="0071332B" w:rsidP="0071332B">
            <w:pPr>
              <w:spacing w:after="225" w:line="240" w:lineRule="auto"/>
              <w:textAlignment w:val="baseline"/>
              <w:rPr>
                <w:rFonts w:ascii="Times New Roman" w:eastAsia="Times New Roman" w:hAnsi="Times New Roman" w:cs="Times New Roman"/>
                <w:kern w:val="0"/>
                <w:sz w:val="24"/>
                <w:szCs w:val="24"/>
                <w:lang w:eastAsia="en-GB"/>
                <w14:ligatures w14:val="none"/>
              </w:rPr>
            </w:pPr>
            <w:r w:rsidRPr="0071332B">
              <w:rPr>
                <w:rFonts w:ascii="Times New Roman" w:eastAsia="Times New Roman" w:hAnsi="Times New Roman" w:cs="Times New Roman"/>
                <w:kern w:val="0"/>
                <w:sz w:val="24"/>
                <w:szCs w:val="24"/>
                <w:lang w:eastAsia="en-GB"/>
                <w14:ligatures w14:val="none"/>
              </w:rPr>
              <w:t xml:space="preserve">A proxy may have access to the patient’s record as well as to transactional </w:t>
            </w:r>
            <w:proofErr w:type="gramStart"/>
            <w:r w:rsidRPr="0071332B">
              <w:rPr>
                <w:rFonts w:ascii="Times New Roman" w:eastAsia="Times New Roman" w:hAnsi="Times New Roman" w:cs="Times New Roman"/>
                <w:kern w:val="0"/>
                <w:sz w:val="24"/>
                <w:szCs w:val="24"/>
                <w:lang w:eastAsia="en-GB"/>
                <w14:ligatures w14:val="none"/>
              </w:rPr>
              <w:t>services  such</w:t>
            </w:r>
            <w:proofErr w:type="gramEnd"/>
            <w:r w:rsidRPr="0071332B">
              <w:rPr>
                <w:rFonts w:ascii="Times New Roman" w:eastAsia="Times New Roman" w:hAnsi="Times New Roman" w:cs="Times New Roman"/>
                <w:kern w:val="0"/>
                <w:sz w:val="24"/>
                <w:szCs w:val="24"/>
                <w:lang w:eastAsia="en-GB"/>
                <w14:ligatures w14:val="none"/>
              </w:rPr>
              <w:t xml:space="preserve"> as appointment booking and repeat prescription requests. </w:t>
            </w:r>
          </w:p>
          <w:p w14:paraId="4B8305AC" w14:textId="77777777" w:rsidR="0071332B" w:rsidRPr="0071332B" w:rsidRDefault="0071332B" w:rsidP="0071332B">
            <w:pPr>
              <w:spacing w:after="225" w:line="240" w:lineRule="auto"/>
              <w:textAlignment w:val="baseline"/>
              <w:rPr>
                <w:rFonts w:ascii="Times New Roman" w:eastAsia="Times New Roman" w:hAnsi="Times New Roman" w:cs="Times New Roman"/>
                <w:kern w:val="0"/>
                <w:sz w:val="24"/>
                <w:szCs w:val="24"/>
                <w:lang w:eastAsia="en-GB"/>
                <w14:ligatures w14:val="none"/>
              </w:rPr>
            </w:pPr>
            <w:r w:rsidRPr="0071332B">
              <w:rPr>
                <w:rFonts w:ascii="Times New Roman" w:eastAsia="Times New Roman" w:hAnsi="Times New Roman" w:cs="Times New Roman"/>
                <w:kern w:val="0"/>
                <w:sz w:val="24"/>
                <w:szCs w:val="24"/>
                <w:lang w:eastAsia="en-GB"/>
                <w14:ligatures w14:val="none"/>
              </w:rPr>
              <w:t> </w:t>
            </w:r>
          </w:p>
          <w:p w14:paraId="7C7D7C56" w14:textId="77777777" w:rsidR="0071332B" w:rsidRPr="0071332B" w:rsidRDefault="0071332B" w:rsidP="0071332B">
            <w:pPr>
              <w:spacing w:after="225" w:line="240" w:lineRule="auto"/>
              <w:textAlignment w:val="baseline"/>
              <w:rPr>
                <w:rFonts w:ascii="Times New Roman" w:eastAsia="Times New Roman" w:hAnsi="Times New Roman" w:cs="Times New Roman"/>
                <w:kern w:val="0"/>
                <w:sz w:val="24"/>
                <w:szCs w:val="24"/>
                <w:lang w:eastAsia="en-GB"/>
                <w14:ligatures w14:val="none"/>
              </w:rPr>
            </w:pPr>
            <w:r w:rsidRPr="0071332B">
              <w:rPr>
                <w:rFonts w:ascii="Times New Roman" w:eastAsia="Times New Roman" w:hAnsi="Times New Roman" w:cs="Times New Roman"/>
                <w:kern w:val="0"/>
                <w:sz w:val="24"/>
                <w:szCs w:val="24"/>
                <w:lang w:eastAsia="en-GB"/>
                <w14:ligatures w14:val="none"/>
              </w:rPr>
              <w:t>The level of access can be different from that of the patient, and agreed levels of access must be confirmed in the consent form and recorded in the patient’s notes.  Examples of these include:</w:t>
            </w:r>
          </w:p>
          <w:p w14:paraId="7517DBCF" w14:textId="77777777" w:rsidR="0071332B" w:rsidRPr="0071332B" w:rsidRDefault="0071332B" w:rsidP="0071332B">
            <w:pPr>
              <w:spacing w:after="225" w:line="240" w:lineRule="auto"/>
              <w:textAlignment w:val="baseline"/>
              <w:rPr>
                <w:rFonts w:ascii="Times New Roman" w:eastAsia="Times New Roman" w:hAnsi="Times New Roman" w:cs="Times New Roman"/>
                <w:kern w:val="0"/>
                <w:sz w:val="24"/>
                <w:szCs w:val="24"/>
                <w:lang w:eastAsia="en-GB"/>
                <w14:ligatures w14:val="none"/>
              </w:rPr>
            </w:pPr>
            <w:r w:rsidRPr="0071332B">
              <w:rPr>
                <w:rFonts w:ascii="Times New Roman" w:eastAsia="Times New Roman" w:hAnsi="Times New Roman" w:cs="Times New Roman"/>
                <w:kern w:val="0"/>
                <w:sz w:val="24"/>
                <w:szCs w:val="24"/>
                <w:lang w:eastAsia="en-GB"/>
                <w14:ligatures w14:val="none"/>
              </w:rPr>
              <w:t> </w:t>
            </w:r>
          </w:p>
          <w:p w14:paraId="2F589C0C" w14:textId="77777777" w:rsidR="0071332B" w:rsidRPr="0071332B" w:rsidRDefault="0071332B" w:rsidP="0071332B">
            <w:pPr>
              <w:spacing w:after="225" w:line="240" w:lineRule="auto"/>
              <w:textAlignment w:val="baseline"/>
              <w:rPr>
                <w:rFonts w:ascii="Times New Roman" w:eastAsia="Times New Roman" w:hAnsi="Times New Roman" w:cs="Times New Roman"/>
                <w:kern w:val="0"/>
                <w:sz w:val="24"/>
                <w:szCs w:val="24"/>
                <w:lang w:eastAsia="en-GB"/>
                <w14:ligatures w14:val="none"/>
              </w:rPr>
            </w:pPr>
            <w:r w:rsidRPr="0071332B">
              <w:rPr>
                <w:rFonts w:ascii="Times New Roman" w:eastAsia="Times New Roman" w:hAnsi="Times New Roman" w:cs="Times New Roman"/>
                <w:kern w:val="0"/>
                <w:sz w:val="24"/>
                <w:szCs w:val="24"/>
                <w:lang w:eastAsia="en-GB"/>
                <w14:ligatures w14:val="none"/>
              </w:rPr>
              <w:t xml:space="preserve">·       </w:t>
            </w:r>
            <w:proofErr w:type="gramStart"/>
            <w:r w:rsidRPr="0071332B">
              <w:rPr>
                <w:rFonts w:ascii="Times New Roman" w:eastAsia="Times New Roman" w:hAnsi="Times New Roman" w:cs="Times New Roman"/>
                <w:kern w:val="0"/>
                <w:sz w:val="24"/>
                <w:szCs w:val="24"/>
                <w:lang w:eastAsia="en-GB"/>
                <w14:ligatures w14:val="none"/>
              </w:rPr>
              <w:t>able</w:t>
            </w:r>
            <w:proofErr w:type="gramEnd"/>
            <w:r w:rsidRPr="0071332B">
              <w:rPr>
                <w:rFonts w:ascii="Times New Roman" w:eastAsia="Times New Roman" w:hAnsi="Times New Roman" w:cs="Times New Roman"/>
                <w:kern w:val="0"/>
                <w:sz w:val="24"/>
                <w:szCs w:val="24"/>
                <w:lang w:eastAsia="en-GB"/>
                <w14:ligatures w14:val="none"/>
              </w:rPr>
              <w:t xml:space="preserve"> to view the patient’s SCR (summary care record)</w:t>
            </w:r>
          </w:p>
          <w:p w14:paraId="756737F8" w14:textId="77777777" w:rsidR="0071332B" w:rsidRPr="0071332B" w:rsidRDefault="0071332B" w:rsidP="0071332B">
            <w:pPr>
              <w:spacing w:after="225" w:line="240" w:lineRule="auto"/>
              <w:textAlignment w:val="baseline"/>
              <w:rPr>
                <w:rFonts w:ascii="Times New Roman" w:eastAsia="Times New Roman" w:hAnsi="Times New Roman" w:cs="Times New Roman"/>
                <w:kern w:val="0"/>
                <w:sz w:val="24"/>
                <w:szCs w:val="24"/>
                <w:lang w:eastAsia="en-GB"/>
                <w14:ligatures w14:val="none"/>
              </w:rPr>
            </w:pPr>
            <w:r w:rsidRPr="0071332B">
              <w:rPr>
                <w:rFonts w:ascii="Times New Roman" w:eastAsia="Times New Roman" w:hAnsi="Times New Roman" w:cs="Times New Roman"/>
                <w:kern w:val="0"/>
                <w:sz w:val="24"/>
                <w:szCs w:val="24"/>
                <w:lang w:eastAsia="en-GB"/>
                <w14:ligatures w14:val="none"/>
              </w:rPr>
              <w:t xml:space="preserve">·       </w:t>
            </w:r>
            <w:proofErr w:type="gramStart"/>
            <w:r w:rsidRPr="0071332B">
              <w:rPr>
                <w:rFonts w:ascii="Times New Roman" w:eastAsia="Times New Roman" w:hAnsi="Times New Roman" w:cs="Times New Roman"/>
                <w:kern w:val="0"/>
                <w:sz w:val="24"/>
                <w:szCs w:val="24"/>
                <w:lang w:eastAsia="en-GB"/>
                <w14:ligatures w14:val="none"/>
              </w:rPr>
              <w:t>able</w:t>
            </w:r>
            <w:proofErr w:type="gramEnd"/>
            <w:r w:rsidRPr="0071332B">
              <w:rPr>
                <w:rFonts w:ascii="Times New Roman" w:eastAsia="Times New Roman" w:hAnsi="Times New Roman" w:cs="Times New Roman"/>
                <w:kern w:val="0"/>
                <w:sz w:val="24"/>
                <w:szCs w:val="24"/>
                <w:lang w:eastAsia="en-GB"/>
                <w14:ligatures w14:val="none"/>
              </w:rPr>
              <w:t xml:space="preserve"> to view the patient’s DCR (detailed coded record)</w:t>
            </w:r>
          </w:p>
          <w:p w14:paraId="13DB2D77" w14:textId="77777777" w:rsidR="0071332B" w:rsidRPr="0071332B" w:rsidRDefault="0071332B" w:rsidP="0071332B">
            <w:pPr>
              <w:spacing w:after="225" w:line="240" w:lineRule="auto"/>
              <w:textAlignment w:val="baseline"/>
              <w:rPr>
                <w:rFonts w:ascii="Times New Roman" w:eastAsia="Times New Roman" w:hAnsi="Times New Roman" w:cs="Times New Roman"/>
                <w:kern w:val="0"/>
                <w:sz w:val="24"/>
                <w:szCs w:val="24"/>
                <w:lang w:eastAsia="en-GB"/>
                <w14:ligatures w14:val="none"/>
              </w:rPr>
            </w:pPr>
            <w:r w:rsidRPr="0071332B">
              <w:rPr>
                <w:rFonts w:ascii="Times New Roman" w:eastAsia="Times New Roman" w:hAnsi="Times New Roman" w:cs="Times New Roman"/>
                <w:kern w:val="0"/>
                <w:sz w:val="24"/>
                <w:szCs w:val="24"/>
                <w:lang w:eastAsia="en-GB"/>
                <w14:ligatures w14:val="none"/>
              </w:rPr>
              <w:t xml:space="preserve">·       </w:t>
            </w:r>
            <w:proofErr w:type="gramStart"/>
            <w:r w:rsidRPr="0071332B">
              <w:rPr>
                <w:rFonts w:ascii="Times New Roman" w:eastAsia="Times New Roman" w:hAnsi="Times New Roman" w:cs="Times New Roman"/>
                <w:kern w:val="0"/>
                <w:sz w:val="24"/>
                <w:szCs w:val="24"/>
                <w:lang w:eastAsia="en-GB"/>
                <w14:ligatures w14:val="none"/>
              </w:rPr>
              <w:t>able</w:t>
            </w:r>
            <w:proofErr w:type="gramEnd"/>
            <w:r w:rsidRPr="0071332B">
              <w:rPr>
                <w:rFonts w:ascii="Times New Roman" w:eastAsia="Times New Roman" w:hAnsi="Times New Roman" w:cs="Times New Roman"/>
                <w:kern w:val="0"/>
                <w:sz w:val="24"/>
                <w:szCs w:val="24"/>
                <w:lang w:eastAsia="en-GB"/>
                <w14:ligatures w14:val="none"/>
              </w:rPr>
              <w:t xml:space="preserve"> to view the patient’s full GP record</w:t>
            </w:r>
          </w:p>
          <w:p w14:paraId="5A6BF82F" w14:textId="77777777" w:rsidR="0071332B" w:rsidRPr="0071332B" w:rsidRDefault="0071332B" w:rsidP="0071332B">
            <w:pPr>
              <w:spacing w:after="225" w:line="240" w:lineRule="auto"/>
              <w:textAlignment w:val="baseline"/>
              <w:rPr>
                <w:rFonts w:ascii="Times New Roman" w:eastAsia="Times New Roman" w:hAnsi="Times New Roman" w:cs="Times New Roman"/>
                <w:kern w:val="0"/>
                <w:sz w:val="24"/>
                <w:szCs w:val="24"/>
                <w:lang w:eastAsia="en-GB"/>
                <w14:ligatures w14:val="none"/>
              </w:rPr>
            </w:pPr>
            <w:r w:rsidRPr="0071332B">
              <w:rPr>
                <w:rFonts w:ascii="Times New Roman" w:eastAsia="Times New Roman" w:hAnsi="Times New Roman" w:cs="Times New Roman"/>
                <w:kern w:val="0"/>
                <w:sz w:val="24"/>
                <w:szCs w:val="24"/>
                <w:lang w:eastAsia="en-GB"/>
                <w14:ligatures w14:val="none"/>
              </w:rPr>
              <w:t> </w:t>
            </w:r>
          </w:p>
          <w:p w14:paraId="443B090A" w14:textId="231F50B0" w:rsidR="0071332B" w:rsidRPr="0071332B" w:rsidRDefault="0071332B" w:rsidP="0071332B">
            <w:pPr>
              <w:spacing w:after="225" w:line="240" w:lineRule="auto"/>
              <w:textAlignment w:val="baseline"/>
              <w:rPr>
                <w:rFonts w:ascii="Times New Roman" w:eastAsia="Times New Roman" w:hAnsi="Times New Roman" w:cs="Times New Roman"/>
                <w:kern w:val="0"/>
                <w:sz w:val="24"/>
                <w:szCs w:val="24"/>
                <w:lang w:eastAsia="en-GB"/>
                <w14:ligatures w14:val="none"/>
              </w:rPr>
            </w:pPr>
            <w:r w:rsidRPr="0071332B">
              <w:rPr>
                <w:rFonts w:ascii="Times New Roman" w:eastAsia="Times New Roman" w:hAnsi="Times New Roman" w:cs="Times New Roman"/>
                <w:kern w:val="0"/>
                <w:sz w:val="24"/>
                <w:szCs w:val="24"/>
                <w:lang w:eastAsia="en-GB"/>
                <w14:ligatures w14:val="none"/>
              </w:rPr>
              <w:lastRenderedPageBreak/>
              <w:t>Where the patient lacks capacity to decide on the level of access, the authoriser must ensure the level of access is appropriate and necessary. </w:t>
            </w:r>
          </w:p>
        </w:tc>
      </w:tr>
      <w:tr w:rsidR="0071332B" w:rsidRPr="0071332B" w14:paraId="026E4840" w14:textId="77777777" w:rsidTr="0071332B">
        <w:trPr>
          <w:trHeight w:val="143"/>
        </w:trPr>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bottom"/>
            <w:hideMark/>
          </w:tcPr>
          <w:p w14:paraId="711FA764" w14:textId="77777777" w:rsidR="0071332B" w:rsidRPr="0071332B" w:rsidRDefault="0071332B" w:rsidP="0071332B">
            <w:pPr>
              <w:spacing w:after="0" w:line="240" w:lineRule="auto"/>
              <w:textAlignment w:val="baseline"/>
              <w:rPr>
                <w:rFonts w:ascii="Times New Roman" w:eastAsia="Times New Roman" w:hAnsi="Times New Roman" w:cs="Times New Roman"/>
                <w:color w:val="000000" w:themeColor="text1"/>
                <w:kern w:val="0"/>
                <w:sz w:val="24"/>
                <w:szCs w:val="24"/>
                <w:lang w:eastAsia="en-GB"/>
                <w14:ligatures w14:val="none"/>
              </w:rPr>
            </w:pPr>
            <w:r w:rsidRPr="0071332B">
              <w:rPr>
                <w:rFonts w:ascii="inherit" w:eastAsia="Times New Roman" w:hAnsi="inherit" w:cs="Times New Roman"/>
                <w:b/>
                <w:bCs/>
                <w:color w:val="000000" w:themeColor="text1"/>
                <w:kern w:val="0"/>
                <w:sz w:val="24"/>
                <w:szCs w:val="24"/>
                <w:bdr w:val="none" w:sz="0" w:space="0" w:color="auto" w:frame="1"/>
                <w:lang w:eastAsia="en-GB"/>
                <w14:ligatures w14:val="none"/>
              </w:rPr>
              <w:lastRenderedPageBreak/>
              <w:t>Step 5 Security and confidentiality</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bottom"/>
            <w:hideMark/>
          </w:tcPr>
          <w:p w14:paraId="6665A176" w14:textId="77777777" w:rsidR="0071332B" w:rsidRPr="0071332B" w:rsidRDefault="0071332B" w:rsidP="0071332B">
            <w:pPr>
              <w:spacing w:after="225" w:line="240" w:lineRule="auto"/>
              <w:textAlignment w:val="baseline"/>
              <w:rPr>
                <w:rFonts w:ascii="Times New Roman" w:eastAsia="Times New Roman" w:hAnsi="Times New Roman" w:cs="Times New Roman"/>
                <w:color w:val="000000" w:themeColor="text1"/>
                <w:kern w:val="0"/>
                <w:sz w:val="24"/>
                <w:szCs w:val="24"/>
                <w:lang w:eastAsia="en-GB"/>
                <w14:ligatures w14:val="none"/>
              </w:rPr>
            </w:pPr>
            <w:r w:rsidRPr="0071332B">
              <w:rPr>
                <w:rFonts w:ascii="Times New Roman" w:eastAsia="Times New Roman" w:hAnsi="Times New Roman" w:cs="Times New Roman"/>
                <w:color w:val="000000" w:themeColor="text1"/>
                <w:kern w:val="0"/>
                <w:sz w:val="24"/>
                <w:szCs w:val="24"/>
                <w:lang w:eastAsia="en-GB"/>
                <w14:ligatures w14:val="none"/>
              </w:rPr>
              <w:t>A proxy must be given information about the importance of keeping the account secure and the information they have access to, confidential.</w:t>
            </w:r>
          </w:p>
          <w:p w14:paraId="63F008B4" w14:textId="77777777" w:rsidR="0071332B" w:rsidRPr="0071332B" w:rsidRDefault="0071332B" w:rsidP="0071332B">
            <w:pPr>
              <w:spacing w:after="225" w:line="240" w:lineRule="auto"/>
              <w:textAlignment w:val="baseline"/>
              <w:rPr>
                <w:rFonts w:ascii="Times New Roman" w:eastAsia="Times New Roman" w:hAnsi="Times New Roman" w:cs="Times New Roman"/>
                <w:color w:val="000000" w:themeColor="text1"/>
                <w:kern w:val="0"/>
                <w:sz w:val="24"/>
                <w:szCs w:val="24"/>
                <w:lang w:eastAsia="en-GB"/>
                <w14:ligatures w14:val="none"/>
              </w:rPr>
            </w:pPr>
            <w:r w:rsidRPr="0071332B">
              <w:rPr>
                <w:rFonts w:ascii="Times New Roman" w:eastAsia="Times New Roman" w:hAnsi="Times New Roman" w:cs="Times New Roman"/>
                <w:color w:val="000000" w:themeColor="text1"/>
                <w:kern w:val="0"/>
                <w:sz w:val="24"/>
                <w:szCs w:val="24"/>
                <w:lang w:eastAsia="en-GB"/>
                <w14:ligatures w14:val="none"/>
              </w:rPr>
              <w:t> </w:t>
            </w:r>
          </w:p>
          <w:p w14:paraId="0A8ABD42" w14:textId="77777777" w:rsidR="0071332B" w:rsidRPr="0071332B" w:rsidRDefault="0071332B" w:rsidP="0071332B">
            <w:pPr>
              <w:spacing w:after="0" w:line="240" w:lineRule="auto"/>
              <w:textAlignment w:val="baseline"/>
              <w:rPr>
                <w:rFonts w:ascii="Times New Roman" w:eastAsia="Times New Roman" w:hAnsi="Times New Roman" w:cs="Times New Roman"/>
                <w:color w:val="000000" w:themeColor="text1"/>
                <w:kern w:val="0"/>
                <w:sz w:val="24"/>
                <w:szCs w:val="24"/>
                <w:lang w:eastAsia="en-GB"/>
                <w14:ligatures w14:val="none"/>
              </w:rPr>
            </w:pPr>
            <w:r w:rsidRPr="0071332B">
              <w:rPr>
                <w:rFonts w:ascii="Times New Roman" w:eastAsia="Times New Roman" w:hAnsi="Times New Roman" w:cs="Times New Roman"/>
                <w:color w:val="000000" w:themeColor="text1"/>
                <w:kern w:val="0"/>
                <w:sz w:val="24"/>
                <w:szCs w:val="24"/>
                <w:lang w:eastAsia="en-GB"/>
                <w14:ligatures w14:val="none"/>
              </w:rPr>
              <w:t>The patient record should also be reviewed for sensitive information, and this should be </w:t>
            </w:r>
            <w:hyperlink r:id="rId6" w:history="1">
              <w:r w:rsidRPr="0071332B">
                <w:rPr>
                  <w:rFonts w:ascii="Times New Roman" w:eastAsia="Times New Roman" w:hAnsi="Times New Roman" w:cs="Times New Roman"/>
                  <w:b/>
                  <w:bCs/>
                  <w:color w:val="000000" w:themeColor="text1"/>
                  <w:kern w:val="0"/>
                  <w:sz w:val="24"/>
                  <w:szCs w:val="24"/>
                  <w:u w:val="single"/>
                  <w:bdr w:val="none" w:sz="0" w:space="0" w:color="auto" w:frame="1"/>
                  <w:lang w:eastAsia="en-GB"/>
                  <w14:ligatures w14:val="none"/>
                </w:rPr>
                <w:t>redacted</w:t>
              </w:r>
            </w:hyperlink>
            <w:r w:rsidRPr="0071332B">
              <w:rPr>
                <w:rFonts w:ascii="Times New Roman" w:eastAsia="Times New Roman" w:hAnsi="Times New Roman" w:cs="Times New Roman"/>
                <w:b/>
                <w:bCs/>
                <w:color w:val="000000" w:themeColor="text1"/>
                <w:kern w:val="0"/>
                <w:sz w:val="24"/>
                <w:szCs w:val="24"/>
                <w:u w:val="single"/>
                <w:lang w:eastAsia="en-GB"/>
                <w14:ligatures w14:val="none"/>
              </w:rPr>
              <w:t> </w:t>
            </w:r>
            <w:r w:rsidRPr="0071332B">
              <w:rPr>
                <w:rFonts w:ascii="Times New Roman" w:eastAsia="Times New Roman" w:hAnsi="Times New Roman" w:cs="Times New Roman"/>
                <w:color w:val="000000" w:themeColor="text1"/>
                <w:kern w:val="0"/>
                <w:sz w:val="24"/>
                <w:szCs w:val="24"/>
                <w:lang w:eastAsia="en-GB"/>
                <w14:ligatures w14:val="none"/>
              </w:rPr>
              <w:t xml:space="preserve">if necessary. This will usually be redacted for both the patient and the proxy user as there are not usually multiple levels of redaction available depending on who is viewing the </w:t>
            </w:r>
            <w:proofErr w:type="gramStart"/>
            <w:r w:rsidRPr="0071332B">
              <w:rPr>
                <w:rFonts w:ascii="Times New Roman" w:eastAsia="Times New Roman" w:hAnsi="Times New Roman" w:cs="Times New Roman"/>
                <w:color w:val="000000" w:themeColor="text1"/>
                <w:kern w:val="0"/>
                <w:sz w:val="24"/>
                <w:szCs w:val="24"/>
                <w:lang w:eastAsia="en-GB"/>
                <w14:ligatures w14:val="none"/>
              </w:rPr>
              <w:t>record</w:t>
            </w:r>
            <w:proofErr w:type="gramEnd"/>
          </w:p>
          <w:p w14:paraId="078B349E" w14:textId="77777777" w:rsidR="0071332B" w:rsidRPr="0071332B" w:rsidRDefault="0071332B" w:rsidP="0071332B">
            <w:pPr>
              <w:spacing w:after="225" w:line="240" w:lineRule="auto"/>
              <w:textAlignment w:val="baseline"/>
              <w:rPr>
                <w:rFonts w:ascii="Times New Roman" w:eastAsia="Times New Roman" w:hAnsi="Times New Roman" w:cs="Times New Roman"/>
                <w:color w:val="000000" w:themeColor="text1"/>
                <w:kern w:val="0"/>
                <w:sz w:val="24"/>
                <w:szCs w:val="24"/>
                <w:lang w:eastAsia="en-GB"/>
                <w14:ligatures w14:val="none"/>
              </w:rPr>
            </w:pPr>
            <w:r w:rsidRPr="0071332B">
              <w:rPr>
                <w:rFonts w:ascii="Times New Roman" w:eastAsia="Times New Roman" w:hAnsi="Times New Roman" w:cs="Times New Roman"/>
                <w:color w:val="000000" w:themeColor="text1"/>
                <w:kern w:val="0"/>
                <w:sz w:val="24"/>
                <w:szCs w:val="24"/>
                <w:lang w:eastAsia="en-GB"/>
                <w14:ligatures w14:val="none"/>
              </w:rPr>
              <w:t> </w:t>
            </w:r>
          </w:p>
        </w:tc>
      </w:tr>
      <w:tr w:rsidR="0071332B" w:rsidRPr="0071332B" w14:paraId="33C8FD7A" w14:textId="77777777" w:rsidTr="0071332B">
        <w:trPr>
          <w:trHeight w:val="164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5BD6713A" w14:textId="77777777" w:rsidR="0071332B" w:rsidRPr="0071332B" w:rsidRDefault="0071332B" w:rsidP="0071332B">
            <w:pPr>
              <w:spacing w:after="0" w:line="240" w:lineRule="auto"/>
              <w:textAlignment w:val="baseline"/>
              <w:rPr>
                <w:rFonts w:ascii="Times New Roman" w:eastAsia="Times New Roman" w:hAnsi="Times New Roman" w:cs="Times New Roman"/>
                <w:color w:val="000000" w:themeColor="text1"/>
                <w:kern w:val="0"/>
                <w:sz w:val="24"/>
                <w:szCs w:val="24"/>
                <w:lang w:eastAsia="en-GB"/>
                <w14:ligatures w14:val="none"/>
              </w:rPr>
            </w:pPr>
            <w:r w:rsidRPr="0071332B">
              <w:rPr>
                <w:rFonts w:ascii="inherit" w:eastAsia="Times New Roman" w:hAnsi="inherit" w:cs="Times New Roman"/>
                <w:b/>
                <w:bCs/>
                <w:color w:val="000000" w:themeColor="text1"/>
                <w:kern w:val="0"/>
                <w:sz w:val="24"/>
                <w:szCs w:val="24"/>
                <w:bdr w:val="none" w:sz="0" w:space="0" w:color="auto" w:frame="1"/>
                <w:lang w:eastAsia="en-GB"/>
                <w14:ligatures w14:val="none"/>
              </w:rPr>
              <w:t>Step 6 Identity verification</w:t>
            </w:r>
          </w:p>
          <w:p w14:paraId="4CC29DD5" w14:textId="77777777" w:rsidR="0071332B" w:rsidRPr="0071332B" w:rsidRDefault="0071332B" w:rsidP="0071332B">
            <w:pPr>
              <w:spacing w:after="0" w:line="240" w:lineRule="auto"/>
              <w:textAlignment w:val="baseline"/>
              <w:rPr>
                <w:rFonts w:ascii="Times New Roman" w:eastAsia="Times New Roman" w:hAnsi="Times New Roman" w:cs="Times New Roman"/>
                <w:color w:val="000000" w:themeColor="text1"/>
                <w:kern w:val="0"/>
                <w:sz w:val="24"/>
                <w:szCs w:val="24"/>
                <w:lang w:eastAsia="en-GB"/>
                <w14:ligatures w14:val="none"/>
              </w:rPr>
            </w:pPr>
            <w:r w:rsidRPr="0071332B">
              <w:rPr>
                <w:rFonts w:ascii="inherit" w:eastAsia="Times New Roman" w:hAnsi="inherit" w:cs="Times New Roman"/>
                <w:b/>
                <w:bCs/>
                <w:color w:val="000000" w:themeColor="text1"/>
                <w:kern w:val="0"/>
                <w:sz w:val="24"/>
                <w:szCs w:val="24"/>
                <w:bdr w:val="none" w:sz="0" w:space="0" w:color="auto" w:frame="1"/>
                <w:lang w:eastAsia="en-GB"/>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612DC41A" w14:textId="77777777" w:rsidR="0071332B" w:rsidRPr="0071332B" w:rsidRDefault="0071332B" w:rsidP="0071332B">
            <w:pPr>
              <w:spacing w:after="0" w:line="240" w:lineRule="auto"/>
              <w:textAlignment w:val="baseline"/>
              <w:rPr>
                <w:rFonts w:ascii="Times New Roman" w:eastAsia="Times New Roman" w:hAnsi="Times New Roman" w:cs="Times New Roman"/>
                <w:color w:val="000000" w:themeColor="text1"/>
                <w:kern w:val="0"/>
                <w:sz w:val="24"/>
                <w:szCs w:val="24"/>
                <w:lang w:eastAsia="en-GB"/>
                <w14:ligatures w14:val="none"/>
              </w:rPr>
            </w:pPr>
            <w:r w:rsidRPr="0071332B">
              <w:rPr>
                <w:rFonts w:ascii="Times New Roman" w:eastAsia="Times New Roman" w:hAnsi="Times New Roman" w:cs="Times New Roman"/>
                <w:color w:val="000000" w:themeColor="text1"/>
                <w:kern w:val="0"/>
                <w:sz w:val="24"/>
                <w:szCs w:val="24"/>
                <w:lang w:eastAsia="en-GB"/>
                <w14:ligatures w14:val="none"/>
              </w:rPr>
              <w:t>Both patient and proxy must have their identities verified before any access can be set up.  The method of </w:t>
            </w:r>
            <w:hyperlink r:id="rId7" w:history="1">
              <w:r w:rsidRPr="0071332B">
                <w:rPr>
                  <w:rFonts w:ascii="Times New Roman" w:eastAsia="Times New Roman" w:hAnsi="Times New Roman" w:cs="Times New Roman"/>
                  <w:b/>
                  <w:bCs/>
                  <w:color w:val="000000" w:themeColor="text1"/>
                  <w:kern w:val="0"/>
                  <w:sz w:val="24"/>
                  <w:szCs w:val="24"/>
                  <w:u w:val="single"/>
                  <w:bdr w:val="none" w:sz="0" w:space="0" w:color="auto" w:frame="1"/>
                  <w:lang w:eastAsia="en-GB"/>
                  <w14:ligatures w14:val="none"/>
                </w:rPr>
                <w:t>ID verification</w:t>
              </w:r>
            </w:hyperlink>
            <w:r w:rsidRPr="0071332B">
              <w:rPr>
                <w:rFonts w:ascii="Times New Roman" w:eastAsia="Times New Roman" w:hAnsi="Times New Roman" w:cs="Times New Roman"/>
                <w:color w:val="000000" w:themeColor="text1"/>
                <w:kern w:val="0"/>
                <w:sz w:val="24"/>
                <w:szCs w:val="24"/>
                <w:lang w:eastAsia="en-GB"/>
                <w14:ligatures w14:val="none"/>
              </w:rPr>
              <w:t> used must be in recorded in the patient’s notes.  Where record access is included in the application, it’s best to verify identities face to face.  Where patients and proxies have an email address and a mobile phone, identity verification can be assured by registering with an </w:t>
            </w:r>
            <w:hyperlink r:id="rId8" w:history="1">
              <w:r w:rsidRPr="0071332B">
                <w:rPr>
                  <w:rFonts w:ascii="Times New Roman" w:eastAsia="Times New Roman" w:hAnsi="Times New Roman" w:cs="Times New Roman"/>
                  <w:b/>
                  <w:bCs/>
                  <w:color w:val="000000" w:themeColor="text1"/>
                  <w:kern w:val="0"/>
                  <w:sz w:val="24"/>
                  <w:szCs w:val="24"/>
                  <w:u w:val="single"/>
                  <w:bdr w:val="none" w:sz="0" w:space="0" w:color="auto" w:frame="1"/>
                  <w:lang w:eastAsia="en-GB"/>
                  <w14:ligatures w14:val="none"/>
                </w:rPr>
                <w:t>NHS login</w:t>
              </w:r>
            </w:hyperlink>
            <w:r w:rsidRPr="0071332B">
              <w:rPr>
                <w:rFonts w:ascii="Times New Roman" w:eastAsia="Times New Roman" w:hAnsi="Times New Roman" w:cs="Times New Roman"/>
                <w:color w:val="000000" w:themeColor="text1"/>
                <w:kern w:val="0"/>
                <w:sz w:val="24"/>
                <w:szCs w:val="24"/>
                <w:lang w:eastAsia="en-GB"/>
                <w14:ligatures w14:val="none"/>
              </w:rPr>
              <w:t> which simplifies the process from a practice point of view.</w:t>
            </w:r>
          </w:p>
        </w:tc>
      </w:tr>
    </w:tbl>
    <w:p w14:paraId="17129755" w14:textId="77777777" w:rsidR="0071332B" w:rsidRDefault="0071332B" w:rsidP="0071332B">
      <w:pPr>
        <w:jc w:val="center"/>
        <w:rPr>
          <w:b/>
          <w:bCs/>
          <w:sz w:val="48"/>
          <w:szCs w:val="48"/>
        </w:rPr>
      </w:pPr>
    </w:p>
    <w:p w14:paraId="3FD17B93" w14:textId="77777777" w:rsidR="0071332B" w:rsidRDefault="0071332B" w:rsidP="0071332B">
      <w:pPr>
        <w:jc w:val="center"/>
        <w:rPr>
          <w:b/>
          <w:bCs/>
          <w:sz w:val="48"/>
          <w:szCs w:val="48"/>
        </w:rPr>
      </w:pPr>
    </w:p>
    <w:p w14:paraId="29EC892A" w14:textId="77777777" w:rsidR="0071332B" w:rsidRDefault="0071332B" w:rsidP="0071332B">
      <w:pPr>
        <w:jc w:val="center"/>
        <w:rPr>
          <w:b/>
          <w:bCs/>
          <w:sz w:val="48"/>
          <w:szCs w:val="48"/>
        </w:rPr>
      </w:pPr>
    </w:p>
    <w:p w14:paraId="0BAA4F65" w14:textId="77777777" w:rsidR="0071332B" w:rsidRDefault="0071332B" w:rsidP="0071332B">
      <w:pPr>
        <w:jc w:val="center"/>
        <w:rPr>
          <w:b/>
          <w:bCs/>
          <w:sz w:val="48"/>
          <w:szCs w:val="48"/>
        </w:rPr>
      </w:pPr>
    </w:p>
    <w:p w14:paraId="6D1E7B5C" w14:textId="77777777" w:rsidR="0071332B" w:rsidRDefault="0071332B" w:rsidP="0071332B">
      <w:pPr>
        <w:jc w:val="center"/>
        <w:rPr>
          <w:b/>
          <w:bCs/>
          <w:sz w:val="48"/>
          <w:szCs w:val="48"/>
        </w:rPr>
      </w:pPr>
    </w:p>
    <w:p w14:paraId="6BBB06E4" w14:textId="77777777" w:rsidR="0071332B" w:rsidRDefault="0071332B" w:rsidP="0071332B">
      <w:pPr>
        <w:pStyle w:val="Heading3"/>
        <w:shd w:val="clear" w:color="auto" w:fill="FFFFFF"/>
        <w:spacing w:before="120" w:after="120"/>
        <w:textAlignment w:val="baseline"/>
        <w:rPr>
          <w:rFonts w:ascii="Roboto" w:hAnsi="Roboto"/>
          <w:color w:val="003087"/>
          <w:sz w:val="34"/>
          <w:szCs w:val="34"/>
        </w:rPr>
      </w:pPr>
      <w:r>
        <w:rPr>
          <w:rFonts w:ascii="Roboto" w:hAnsi="Roboto"/>
          <w:color w:val="003087"/>
          <w:sz w:val="34"/>
          <w:szCs w:val="34"/>
        </w:rPr>
        <w:lastRenderedPageBreak/>
        <w:t>Lack of capacity to consent</w:t>
      </w:r>
    </w:p>
    <w:p w14:paraId="01043957" w14:textId="77777777" w:rsidR="0071332B" w:rsidRDefault="0071332B" w:rsidP="0071332B">
      <w:pPr>
        <w:pStyle w:val="NormalWeb"/>
        <w:shd w:val="clear" w:color="auto" w:fill="FFFFFF"/>
        <w:spacing w:before="0" w:beforeAutospacing="0" w:after="225" w:afterAutospacing="0"/>
        <w:textAlignment w:val="baseline"/>
        <w:rPr>
          <w:rFonts w:ascii="Roboto" w:hAnsi="Roboto"/>
          <w:color w:val="202A30"/>
          <w:sz w:val="27"/>
          <w:szCs w:val="27"/>
        </w:rPr>
      </w:pPr>
      <w:r>
        <w:rPr>
          <w:rFonts w:ascii="Roboto" w:hAnsi="Roboto"/>
          <w:color w:val="202A30"/>
          <w:sz w:val="27"/>
          <w:szCs w:val="27"/>
        </w:rPr>
        <w:t xml:space="preserve">There are </w:t>
      </w:r>
      <w:proofErr w:type="gramStart"/>
      <w:r>
        <w:rPr>
          <w:rFonts w:ascii="Roboto" w:hAnsi="Roboto"/>
          <w:color w:val="202A30"/>
          <w:sz w:val="27"/>
          <w:szCs w:val="27"/>
        </w:rPr>
        <w:t>a number of</w:t>
      </w:r>
      <w:proofErr w:type="gramEnd"/>
      <w:r>
        <w:rPr>
          <w:rFonts w:ascii="Roboto" w:hAnsi="Roboto"/>
          <w:color w:val="202A30"/>
          <w:sz w:val="27"/>
          <w:szCs w:val="27"/>
        </w:rPr>
        <w:t xml:space="preserve"> circumstances where proxy access may be given without the consent of the patient.  In all instances, the lack of capacity must be confirmed by a clinician and a decision to enable proxy access made after careful consideration of:</w:t>
      </w:r>
    </w:p>
    <w:p w14:paraId="1A187049" w14:textId="77777777" w:rsidR="0071332B" w:rsidRDefault="0071332B" w:rsidP="0071332B">
      <w:pPr>
        <w:numPr>
          <w:ilvl w:val="0"/>
          <w:numId w:val="1"/>
        </w:numPr>
        <w:shd w:val="clear" w:color="auto" w:fill="FFFFFF"/>
        <w:spacing w:after="0" w:line="240" w:lineRule="auto"/>
        <w:ind w:left="1005"/>
        <w:textAlignment w:val="baseline"/>
        <w:rPr>
          <w:rFonts w:ascii="Roboto" w:hAnsi="Roboto"/>
          <w:color w:val="202A30"/>
          <w:sz w:val="27"/>
          <w:szCs w:val="27"/>
        </w:rPr>
      </w:pPr>
      <w:r>
        <w:rPr>
          <w:rFonts w:ascii="Roboto" w:hAnsi="Roboto"/>
          <w:color w:val="202A30"/>
          <w:sz w:val="27"/>
          <w:szCs w:val="27"/>
        </w:rPr>
        <w:t>the balance of risks and benefits to the patient</w:t>
      </w:r>
    </w:p>
    <w:p w14:paraId="36986468" w14:textId="77777777" w:rsidR="0071332B" w:rsidRDefault="0071332B" w:rsidP="0071332B">
      <w:pPr>
        <w:numPr>
          <w:ilvl w:val="0"/>
          <w:numId w:val="1"/>
        </w:numPr>
        <w:shd w:val="clear" w:color="auto" w:fill="FFFFFF"/>
        <w:spacing w:after="0" w:line="240" w:lineRule="auto"/>
        <w:ind w:left="1005"/>
        <w:textAlignment w:val="baseline"/>
        <w:rPr>
          <w:rFonts w:ascii="Roboto" w:hAnsi="Roboto"/>
          <w:color w:val="202A30"/>
          <w:sz w:val="27"/>
          <w:szCs w:val="27"/>
        </w:rPr>
      </w:pPr>
      <w:r>
        <w:rPr>
          <w:rFonts w:ascii="Roboto" w:hAnsi="Roboto"/>
          <w:color w:val="202A30"/>
          <w:sz w:val="27"/>
          <w:szCs w:val="27"/>
        </w:rPr>
        <w:t>the views of the family (where it is possible to ask the family)</w:t>
      </w:r>
    </w:p>
    <w:p w14:paraId="0F50BE7E" w14:textId="77777777" w:rsidR="0071332B" w:rsidRDefault="0071332B" w:rsidP="0071332B">
      <w:pPr>
        <w:pStyle w:val="Heading3"/>
        <w:shd w:val="clear" w:color="auto" w:fill="FFFFFF"/>
        <w:spacing w:before="120" w:after="120"/>
        <w:textAlignment w:val="baseline"/>
        <w:rPr>
          <w:rFonts w:ascii="Roboto" w:hAnsi="Roboto"/>
          <w:color w:val="003087"/>
          <w:sz w:val="34"/>
          <w:szCs w:val="34"/>
        </w:rPr>
      </w:pPr>
      <w:r>
        <w:rPr>
          <w:rFonts w:ascii="Roboto" w:hAnsi="Roboto"/>
          <w:color w:val="003087"/>
          <w:sz w:val="34"/>
          <w:szCs w:val="34"/>
        </w:rPr>
        <w:t>Proxy access without the consent of the patient</w:t>
      </w:r>
    </w:p>
    <w:p w14:paraId="27A89555" w14:textId="77777777" w:rsidR="0071332B" w:rsidRDefault="0071332B" w:rsidP="0071332B">
      <w:pPr>
        <w:pStyle w:val="NormalWeb"/>
        <w:shd w:val="clear" w:color="auto" w:fill="FFFFFF"/>
        <w:spacing w:before="0" w:beforeAutospacing="0" w:after="225" w:afterAutospacing="0"/>
        <w:textAlignment w:val="baseline"/>
        <w:rPr>
          <w:rFonts w:ascii="Roboto" w:hAnsi="Roboto"/>
          <w:color w:val="202A30"/>
          <w:sz w:val="27"/>
          <w:szCs w:val="27"/>
        </w:rPr>
      </w:pPr>
      <w:r>
        <w:rPr>
          <w:rFonts w:ascii="Roboto" w:hAnsi="Roboto"/>
          <w:color w:val="202A30"/>
          <w:sz w:val="27"/>
          <w:szCs w:val="27"/>
        </w:rPr>
        <w:t>Where a patient is unable to give consent, proxy access may be agreed when:</w:t>
      </w:r>
    </w:p>
    <w:p w14:paraId="0975A224" w14:textId="77777777" w:rsidR="0071332B" w:rsidRDefault="0071332B" w:rsidP="0071332B">
      <w:pPr>
        <w:numPr>
          <w:ilvl w:val="0"/>
          <w:numId w:val="2"/>
        </w:numPr>
        <w:shd w:val="clear" w:color="auto" w:fill="FFFFFF"/>
        <w:spacing w:after="0" w:line="240" w:lineRule="auto"/>
        <w:ind w:left="1005"/>
        <w:textAlignment w:val="baseline"/>
        <w:rPr>
          <w:rFonts w:ascii="Roboto" w:hAnsi="Roboto"/>
          <w:color w:val="202A30"/>
          <w:sz w:val="27"/>
          <w:szCs w:val="27"/>
        </w:rPr>
      </w:pPr>
      <w:r>
        <w:rPr>
          <w:rFonts w:ascii="Roboto" w:hAnsi="Roboto"/>
          <w:color w:val="202A30"/>
          <w:sz w:val="27"/>
          <w:szCs w:val="27"/>
        </w:rPr>
        <w:t>the proxy has a lasting power of attorney for health and welfare granted by the Office of the Public Guardian</w:t>
      </w:r>
    </w:p>
    <w:p w14:paraId="00DA04C4" w14:textId="77777777" w:rsidR="0071332B" w:rsidRDefault="0071332B" w:rsidP="0071332B">
      <w:pPr>
        <w:numPr>
          <w:ilvl w:val="0"/>
          <w:numId w:val="2"/>
        </w:numPr>
        <w:shd w:val="clear" w:color="auto" w:fill="FFFFFF"/>
        <w:spacing w:after="0" w:line="240" w:lineRule="auto"/>
        <w:ind w:left="1005"/>
        <w:textAlignment w:val="baseline"/>
        <w:rPr>
          <w:rFonts w:ascii="Roboto" w:hAnsi="Roboto"/>
          <w:color w:val="202A30"/>
          <w:sz w:val="27"/>
          <w:szCs w:val="27"/>
        </w:rPr>
      </w:pPr>
      <w:r>
        <w:rPr>
          <w:rFonts w:ascii="Roboto" w:hAnsi="Roboto"/>
          <w:color w:val="202A30"/>
          <w:sz w:val="27"/>
          <w:szCs w:val="27"/>
        </w:rPr>
        <w:t xml:space="preserve">the applicant is acting as a Court Appointed Deputy on behalf of the </w:t>
      </w:r>
      <w:proofErr w:type="gramStart"/>
      <w:r>
        <w:rPr>
          <w:rFonts w:ascii="Roboto" w:hAnsi="Roboto"/>
          <w:color w:val="202A30"/>
          <w:sz w:val="27"/>
          <w:szCs w:val="27"/>
        </w:rPr>
        <w:t>patient</w:t>
      </w:r>
      <w:proofErr w:type="gramEnd"/>
    </w:p>
    <w:p w14:paraId="46F583D5" w14:textId="77777777" w:rsidR="0071332B" w:rsidRDefault="0071332B" w:rsidP="0071332B">
      <w:pPr>
        <w:numPr>
          <w:ilvl w:val="0"/>
          <w:numId w:val="2"/>
        </w:numPr>
        <w:shd w:val="clear" w:color="auto" w:fill="FFFFFF"/>
        <w:spacing w:after="0" w:line="240" w:lineRule="auto"/>
        <w:ind w:left="1005"/>
        <w:textAlignment w:val="baseline"/>
        <w:rPr>
          <w:rFonts w:ascii="Roboto" w:hAnsi="Roboto"/>
          <w:color w:val="202A30"/>
          <w:sz w:val="27"/>
          <w:szCs w:val="27"/>
        </w:rPr>
      </w:pPr>
      <w:r>
        <w:rPr>
          <w:rFonts w:ascii="Roboto" w:hAnsi="Roboto"/>
          <w:color w:val="202A30"/>
          <w:sz w:val="27"/>
          <w:szCs w:val="27"/>
        </w:rPr>
        <w:t>in accordance with the </w:t>
      </w:r>
      <w:hyperlink r:id="rId9" w:history="1">
        <w:r w:rsidRPr="0071332B">
          <w:rPr>
            <w:rStyle w:val="Hyperlink"/>
            <w:rFonts w:ascii="Roboto" w:hAnsi="Roboto"/>
            <w:b/>
            <w:bCs/>
            <w:color w:val="000000" w:themeColor="text1"/>
            <w:sz w:val="27"/>
            <w:szCs w:val="27"/>
            <w:bdr w:val="none" w:sz="0" w:space="0" w:color="auto" w:frame="1"/>
          </w:rPr>
          <w:t>Mental Capacity Act 2005</w:t>
        </w:r>
      </w:hyperlink>
      <w:r>
        <w:rPr>
          <w:rFonts w:ascii="Roboto" w:hAnsi="Roboto"/>
          <w:color w:val="202A30"/>
          <w:sz w:val="27"/>
          <w:szCs w:val="27"/>
        </w:rPr>
        <w:t> code of practice, the GP considers it in the patient’s best interests to grant access to the applicant</w:t>
      </w:r>
    </w:p>
    <w:p w14:paraId="53CF57CC" w14:textId="77777777" w:rsidR="0071332B" w:rsidRDefault="0071332B" w:rsidP="0071332B">
      <w:pPr>
        <w:numPr>
          <w:ilvl w:val="0"/>
          <w:numId w:val="2"/>
        </w:numPr>
        <w:shd w:val="clear" w:color="auto" w:fill="FFFFFF"/>
        <w:spacing w:after="0" w:line="240" w:lineRule="auto"/>
        <w:ind w:left="1005"/>
        <w:textAlignment w:val="baseline"/>
        <w:rPr>
          <w:rFonts w:ascii="Roboto" w:hAnsi="Roboto"/>
          <w:color w:val="202A30"/>
          <w:sz w:val="27"/>
          <w:szCs w:val="27"/>
        </w:rPr>
      </w:pPr>
      <w:r>
        <w:rPr>
          <w:rFonts w:ascii="Roboto" w:hAnsi="Roboto"/>
          <w:color w:val="202A30"/>
          <w:sz w:val="27"/>
          <w:szCs w:val="27"/>
        </w:rPr>
        <w:t>the patient is a child under the age specified in </w:t>
      </w:r>
      <w:hyperlink r:id="rId10" w:history="1">
        <w:r w:rsidRPr="0071332B">
          <w:rPr>
            <w:rStyle w:val="Hyperlink"/>
            <w:rFonts w:ascii="inherit" w:hAnsi="inherit"/>
            <w:b/>
            <w:bCs/>
            <w:color w:val="000000" w:themeColor="text1"/>
            <w:sz w:val="27"/>
            <w:szCs w:val="27"/>
            <w:u w:val="none"/>
            <w:bdr w:val="none" w:sz="0" w:space="0" w:color="auto" w:frame="1"/>
          </w:rPr>
          <w:t xml:space="preserve">the </w:t>
        </w:r>
        <w:r w:rsidRPr="0071332B">
          <w:rPr>
            <w:rStyle w:val="Hyperlink"/>
            <w:rFonts w:ascii="inherit" w:hAnsi="inherit"/>
            <w:b/>
            <w:bCs/>
            <w:color w:val="000000" w:themeColor="text1"/>
            <w:sz w:val="27"/>
            <w:szCs w:val="27"/>
            <w:bdr w:val="none" w:sz="0" w:space="0" w:color="auto" w:frame="1"/>
          </w:rPr>
          <w:t>RCGP guidance</w:t>
        </w:r>
      </w:hyperlink>
      <w:r>
        <w:rPr>
          <w:rFonts w:ascii="Roboto" w:hAnsi="Roboto"/>
          <w:color w:val="202A30"/>
          <w:sz w:val="27"/>
          <w:szCs w:val="27"/>
        </w:rPr>
        <w:t> and the person requesting access is a parent or other person with parental responsibility and there are no known reasons why proxy access should not be given</w:t>
      </w:r>
    </w:p>
    <w:p w14:paraId="5468151C" w14:textId="77777777" w:rsidR="0071332B" w:rsidRDefault="0071332B" w:rsidP="0071332B">
      <w:pPr>
        <w:pStyle w:val="NormalWeb"/>
        <w:shd w:val="clear" w:color="auto" w:fill="FFFFFF"/>
        <w:spacing w:before="0" w:beforeAutospacing="0" w:after="225" w:afterAutospacing="0"/>
        <w:textAlignment w:val="baseline"/>
        <w:rPr>
          <w:rFonts w:ascii="Roboto" w:hAnsi="Roboto"/>
          <w:color w:val="202A30"/>
          <w:sz w:val="27"/>
          <w:szCs w:val="27"/>
        </w:rPr>
      </w:pPr>
      <w:r>
        <w:rPr>
          <w:rFonts w:ascii="Roboto" w:hAnsi="Roboto"/>
          <w:color w:val="202A30"/>
          <w:sz w:val="27"/>
          <w:szCs w:val="27"/>
        </w:rPr>
        <w:t xml:space="preserve">When someone is applying for proxy access </w:t>
      </w:r>
      <w:proofErr w:type="gramStart"/>
      <w:r>
        <w:rPr>
          <w:rFonts w:ascii="Roboto" w:hAnsi="Roboto"/>
          <w:color w:val="202A30"/>
          <w:sz w:val="27"/>
          <w:szCs w:val="27"/>
        </w:rPr>
        <w:t>on the basis of</w:t>
      </w:r>
      <w:proofErr w:type="gramEnd"/>
      <w:r>
        <w:rPr>
          <w:rFonts w:ascii="Roboto" w:hAnsi="Roboto"/>
          <w:color w:val="202A30"/>
          <w:sz w:val="27"/>
          <w:szCs w:val="27"/>
        </w:rPr>
        <w:t xml:space="preserve"> an enduring power of attorney, a lasting power of attorney, or as a Court Appointed Deputy, their status should be verified by making an online check of the registers held by the Office of the Public Guardian.  This is a free service.  The result of checks should be recorded in the notes.</w:t>
      </w:r>
    </w:p>
    <w:p w14:paraId="37FEB182" w14:textId="77777777" w:rsidR="0071332B" w:rsidRDefault="0071332B" w:rsidP="0071332B">
      <w:pPr>
        <w:pStyle w:val="NormalWeb"/>
        <w:shd w:val="clear" w:color="auto" w:fill="FFFFFF"/>
        <w:spacing w:before="0" w:beforeAutospacing="0" w:after="0" w:afterAutospacing="0"/>
        <w:textAlignment w:val="baseline"/>
        <w:rPr>
          <w:rFonts w:ascii="Roboto" w:hAnsi="Roboto"/>
          <w:color w:val="202A30"/>
          <w:sz w:val="27"/>
          <w:szCs w:val="27"/>
        </w:rPr>
      </w:pPr>
      <w:r>
        <w:rPr>
          <w:rFonts w:ascii="Roboto" w:hAnsi="Roboto"/>
          <w:color w:val="202A30"/>
          <w:sz w:val="27"/>
          <w:szCs w:val="27"/>
        </w:rPr>
        <w:t>In the case of a child, for example, proxy access for people with parental responsibility should usually be switched off once the child reaches the age deemed appropriate </w:t>
      </w:r>
      <w:hyperlink r:id="rId11" w:history="1">
        <w:r w:rsidRPr="0071332B">
          <w:rPr>
            <w:rStyle w:val="Hyperlink"/>
            <w:rFonts w:ascii="inherit" w:hAnsi="inherit"/>
            <w:color w:val="000000" w:themeColor="text1"/>
            <w:sz w:val="27"/>
            <w:szCs w:val="27"/>
            <w:u w:val="none"/>
            <w:bdr w:val="none" w:sz="0" w:space="0" w:color="auto" w:frame="1"/>
          </w:rPr>
          <w:t xml:space="preserve">in the </w:t>
        </w:r>
        <w:r w:rsidRPr="0071332B">
          <w:rPr>
            <w:rStyle w:val="Hyperlink"/>
            <w:rFonts w:ascii="inherit" w:hAnsi="inherit"/>
            <w:b/>
            <w:bCs/>
            <w:color w:val="000000" w:themeColor="text1"/>
            <w:sz w:val="27"/>
            <w:szCs w:val="27"/>
            <w:bdr w:val="none" w:sz="0" w:space="0" w:color="auto" w:frame="1"/>
          </w:rPr>
          <w:t>RCGP guidance</w:t>
        </w:r>
      </w:hyperlink>
      <w:r w:rsidRPr="0071332B">
        <w:rPr>
          <w:rFonts w:ascii="Roboto" w:hAnsi="Roboto"/>
          <w:color w:val="000000" w:themeColor="text1"/>
          <w:sz w:val="27"/>
          <w:szCs w:val="27"/>
        </w:rPr>
        <w:t xml:space="preserve">.  </w:t>
      </w:r>
      <w:r>
        <w:rPr>
          <w:rFonts w:ascii="Roboto" w:hAnsi="Roboto"/>
          <w:color w:val="202A30"/>
          <w:sz w:val="27"/>
          <w:szCs w:val="27"/>
        </w:rPr>
        <w:t>Furthermore, the RCGP guidance identifies the age at which the practice can have a discussion with both parties and agree further proxy access.</w:t>
      </w:r>
    </w:p>
    <w:p w14:paraId="40EC9601" w14:textId="77777777" w:rsidR="0071332B" w:rsidRDefault="0071332B" w:rsidP="0071332B">
      <w:pPr>
        <w:pStyle w:val="Heading2"/>
        <w:shd w:val="clear" w:color="auto" w:fill="FFFFFF"/>
        <w:spacing w:before="120" w:beforeAutospacing="0" w:after="180" w:afterAutospacing="0"/>
        <w:textAlignment w:val="baseline"/>
        <w:rPr>
          <w:rFonts w:ascii="Roboto" w:hAnsi="Roboto"/>
          <w:color w:val="003087"/>
          <w:sz w:val="41"/>
          <w:szCs w:val="41"/>
        </w:rPr>
      </w:pPr>
      <w:r>
        <w:rPr>
          <w:rFonts w:ascii="Roboto" w:hAnsi="Roboto"/>
          <w:color w:val="003087"/>
          <w:sz w:val="41"/>
          <w:szCs w:val="41"/>
        </w:rPr>
        <w:t>Refusing or withdrawing proxy access</w:t>
      </w:r>
    </w:p>
    <w:p w14:paraId="4F436CAB" w14:textId="77777777" w:rsidR="0071332B" w:rsidRDefault="0071332B" w:rsidP="0071332B">
      <w:pPr>
        <w:pStyle w:val="NormalWeb"/>
        <w:shd w:val="clear" w:color="auto" w:fill="FFFFFF"/>
        <w:spacing w:before="0" w:beforeAutospacing="0" w:after="225" w:afterAutospacing="0"/>
        <w:textAlignment w:val="baseline"/>
        <w:rPr>
          <w:rFonts w:ascii="Roboto" w:hAnsi="Roboto"/>
          <w:color w:val="202A30"/>
          <w:sz w:val="27"/>
          <w:szCs w:val="27"/>
        </w:rPr>
      </w:pPr>
      <w:r>
        <w:rPr>
          <w:rFonts w:ascii="Roboto" w:hAnsi="Roboto"/>
          <w:color w:val="202A30"/>
          <w:sz w:val="27"/>
          <w:szCs w:val="27"/>
        </w:rPr>
        <w:t>Proxy access should not be granted or may be withdrawn if any of the following apply:</w:t>
      </w:r>
    </w:p>
    <w:p w14:paraId="68ACC0D3" w14:textId="77777777" w:rsidR="0071332B" w:rsidRDefault="0071332B" w:rsidP="0071332B">
      <w:pPr>
        <w:numPr>
          <w:ilvl w:val="0"/>
          <w:numId w:val="3"/>
        </w:numPr>
        <w:shd w:val="clear" w:color="auto" w:fill="FFFFFF"/>
        <w:spacing w:after="0" w:line="240" w:lineRule="auto"/>
        <w:ind w:left="1005"/>
        <w:textAlignment w:val="baseline"/>
        <w:rPr>
          <w:rFonts w:ascii="Roboto" w:hAnsi="Roboto"/>
          <w:color w:val="202A30"/>
          <w:sz w:val="27"/>
          <w:szCs w:val="27"/>
        </w:rPr>
      </w:pPr>
      <w:r>
        <w:rPr>
          <w:rFonts w:ascii="Roboto" w:hAnsi="Roboto"/>
          <w:color w:val="202A30"/>
          <w:sz w:val="27"/>
          <w:szCs w:val="27"/>
        </w:rPr>
        <w:t xml:space="preserve">practice staff have good grounds for suspicion that the patient has not given consent </w:t>
      </w:r>
      <w:proofErr w:type="gramStart"/>
      <w:r>
        <w:rPr>
          <w:rFonts w:ascii="Roboto" w:hAnsi="Roboto"/>
          <w:color w:val="202A30"/>
          <w:sz w:val="27"/>
          <w:szCs w:val="27"/>
        </w:rPr>
        <w:t>freely</w:t>
      </w:r>
      <w:proofErr w:type="gramEnd"/>
    </w:p>
    <w:p w14:paraId="466E3D49" w14:textId="77777777" w:rsidR="0071332B" w:rsidRDefault="0071332B" w:rsidP="0071332B">
      <w:pPr>
        <w:numPr>
          <w:ilvl w:val="0"/>
          <w:numId w:val="3"/>
        </w:numPr>
        <w:shd w:val="clear" w:color="auto" w:fill="FFFFFF"/>
        <w:spacing w:after="0" w:line="240" w:lineRule="auto"/>
        <w:ind w:left="1005"/>
        <w:textAlignment w:val="baseline"/>
        <w:rPr>
          <w:rFonts w:ascii="Roboto" w:hAnsi="Roboto"/>
          <w:color w:val="202A30"/>
          <w:sz w:val="27"/>
          <w:szCs w:val="27"/>
        </w:rPr>
      </w:pPr>
      <w:r>
        <w:rPr>
          <w:rFonts w:ascii="Roboto" w:hAnsi="Roboto"/>
          <w:color w:val="202A30"/>
          <w:sz w:val="27"/>
          <w:szCs w:val="27"/>
        </w:rPr>
        <w:lastRenderedPageBreak/>
        <w:t>a patient of the age specified in</w:t>
      </w:r>
      <w:r w:rsidRPr="0071332B">
        <w:rPr>
          <w:rFonts w:ascii="Roboto" w:hAnsi="Roboto"/>
          <w:color w:val="000000" w:themeColor="text1"/>
          <w:sz w:val="27"/>
          <w:szCs w:val="27"/>
        </w:rPr>
        <w:t> </w:t>
      </w:r>
      <w:hyperlink r:id="rId12" w:history="1">
        <w:r w:rsidRPr="0071332B">
          <w:rPr>
            <w:rStyle w:val="Hyperlink"/>
            <w:rFonts w:ascii="inherit" w:hAnsi="inherit"/>
            <w:color w:val="000000" w:themeColor="text1"/>
            <w:sz w:val="27"/>
            <w:szCs w:val="27"/>
            <w:u w:val="none"/>
            <w:bdr w:val="none" w:sz="0" w:space="0" w:color="auto" w:frame="1"/>
          </w:rPr>
          <w:t xml:space="preserve">the </w:t>
        </w:r>
        <w:r w:rsidRPr="0071332B">
          <w:rPr>
            <w:rStyle w:val="Hyperlink"/>
            <w:rFonts w:ascii="inherit" w:hAnsi="inherit"/>
            <w:b/>
            <w:bCs/>
            <w:color w:val="000000" w:themeColor="text1"/>
            <w:sz w:val="27"/>
            <w:szCs w:val="27"/>
            <w:bdr w:val="none" w:sz="0" w:space="0" w:color="auto" w:frame="1"/>
          </w:rPr>
          <w:t>RCGP guidance</w:t>
        </w:r>
      </w:hyperlink>
      <w:r>
        <w:rPr>
          <w:rFonts w:ascii="Roboto" w:hAnsi="Roboto"/>
          <w:color w:val="202A30"/>
          <w:sz w:val="27"/>
          <w:szCs w:val="27"/>
        </w:rPr>
        <w:t> is deemed competent to make a decision on access and they have not given consent to the proxy having access</w:t>
      </w:r>
    </w:p>
    <w:p w14:paraId="0E32032C" w14:textId="77777777" w:rsidR="0071332B" w:rsidRDefault="0071332B" w:rsidP="0071332B">
      <w:pPr>
        <w:numPr>
          <w:ilvl w:val="0"/>
          <w:numId w:val="3"/>
        </w:numPr>
        <w:shd w:val="clear" w:color="auto" w:fill="FFFFFF"/>
        <w:spacing w:after="0" w:line="240" w:lineRule="auto"/>
        <w:ind w:left="1005"/>
        <w:textAlignment w:val="baseline"/>
        <w:rPr>
          <w:rFonts w:ascii="Roboto" w:hAnsi="Roboto"/>
          <w:color w:val="202A30"/>
          <w:sz w:val="27"/>
          <w:szCs w:val="27"/>
        </w:rPr>
      </w:pPr>
      <w:r>
        <w:rPr>
          <w:rFonts w:ascii="Roboto" w:hAnsi="Roboto"/>
          <w:color w:val="202A30"/>
          <w:sz w:val="27"/>
          <w:szCs w:val="27"/>
        </w:rPr>
        <w:t xml:space="preserve">there is believed to be a risk to the security of the online account posed by the </w:t>
      </w:r>
      <w:proofErr w:type="gramStart"/>
      <w:r>
        <w:rPr>
          <w:rFonts w:ascii="Roboto" w:hAnsi="Roboto"/>
          <w:color w:val="202A30"/>
          <w:sz w:val="27"/>
          <w:szCs w:val="27"/>
        </w:rPr>
        <w:t>proxy</w:t>
      </w:r>
      <w:proofErr w:type="gramEnd"/>
    </w:p>
    <w:p w14:paraId="2FB066CF" w14:textId="77777777" w:rsidR="0071332B" w:rsidRDefault="0071332B" w:rsidP="0071332B">
      <w:pPr>
        <w:numPr>
          <w:ilvl w:val="0"/>
          <w:numId w:val="3"/>
        </w:numPr>
        <w:shd w:val="clear" w:color="auto" w:fill="FFFFFF"/>
        <w:spacing w:after="0" w:line="240" w:lineRule="auto"/>
        <w:ind w:left="1005"/>
        <w:textAlignment w:val="baseline"/>
        <w:rPr>
          <w:rFonts w:ascii="Roboto" w:hAnsi="Roboto"/>
          <w:color w:val="202A30"/>
          <w:sz w:val="27"/>
          <w:szCs w:val="27"/>
        </w:rPr>
      </w:pPr>
      <w:r>
        <w:rPr>
          <w:rFonts w:ascii="Roboto" w:hAnsi="Roboto"/>
          <w:color w:val="202A30"/>
          <w:sz w:val="27"/>
          <w:szCs w:val="27"/>
        </w:rPr>
        <w:t xml:space="preserve">the patient has previously expressed the wish not to grant proxy access to specific individuals should they lose capacity, either permanently or temporarily, as recorded in the </w:t>
      </w:r>
      <w:proofErr w:type="gramStart"/>
      <w:r>
        <w:rPr>
          <w:rFonts w:ascii="Roboto" w:hAnsi="Roboto"/>
          <w:color w:val="202A30"/>
          <w:sz w:val="27"/>
          <w:szCs w:val="27"/>
        </w:rPr>
        <w:t>notes</w:t>
      </w:r>
      <w:proofErr w:type="gramEnd"/>
    </w:p>
    <w:p w14:paraId="1D64D30A" w14:textId="77777777" w:rsidR="0071332B" w:rsidRDefault="0071332B" w:rsidP="0071332B">
      <w:pPr>
        <w:numPr>
          <w:ilvl w:val="0"/>
          <w:numId w:val="3"/>
        </w:numPr>
        <w:shd w:val="clear" w:color="auto" w:fill="FFFFFF"/>
        <w:spacing w:after="0" w:line="240" w:lineRule="auto"/>
        <w:ind w:left="1005"/>
        <w:textAlignment w:val="baseline"/>
        <w:rPr>
          <w:rFonts w:ascii="Roboto" w:hAnsi="Roboto"/>
          <w:color w:val="202A30"/>
          <w:sz w:val="27"/>
          <w:szCs w:val="27"/>
        </w:rPr>
      </w:pPr>
      <w:r>
        <w:rPr>
          <w:rFonts w:ascii="Roboto" w:hAnsi="Roboto"/>
          <w:color w:val="202A30"/>
          <w:sz w:val="27"/>
          <w:szCs w:val="27"/>
        </w:rPr>
        <w:t xml:space="preserve">the patient’s GP assesses that it is not in the best interests of the </w:t>
      </w:r>
      <w:proofErr w:type="gramStart"/>
      <w:r>
        <w:rPr>
          <w:rFonts w:ascii="Roboto" w:hAnsi="Roboto"/>
          <w:color w:val="202A30"/>
          <w:sz w:val="27"/>
          <w:szCs w:val="27"/>
        </w:rPr>
        <w:t>patient</w:t>
      </w:r>
      <w:proofErr w:type="gramEnd"/>
    </w:p>
    <w:p w14:paraId="4000F72E" w14:textId="77777777" w:rsidR="0071332B" w:rsidRDefault="0071332B" w:rsidP="0071332B">
      <w:pPr>
        <w:numPr>
          <w:ilvl w:val="0"/>
          <w:numId w:val="3"/>
        </w:numPr>
        <w:shd w:val="clear" w:color="auto" w:fill="FFFFFF"/>
        <w:spacing w:after="0" w:line="240" w:lineRule="auto"/>
        <w:ind w:left="1005"/>
        <w:textAlignment w:val="baseline"/>
        <w:rPr>
          <w:rFonts w:ascii="Roboto" w:hAnsi="Roboto"/>
          <w:color w:val="202A30"/>
          <w:sz w:val="27"/>
          <w:szCs w:val="27"/>
        </w:rPr>
      </w:pPr>
      <w:r>
        <w:rPr>
          <w:rFonts w:ascii="Roboto" w:hAnsi="Roboto"/>
          <w:color w:val="202A30"/>
          <w:sz w:val="27"/>
          <w:szCs w:val="27"/>
        </w:rPr>
        <w:t>at the request of the patient</w:t>
      </w:r>
    </w:p>
    <w:p w14:paraId="001783AB" w14:textId="77777777" w:rsidR="0071332B" w:rsidRDefault="0071332B" w:rsidP="0071332B">
      <w:pPr>
        <w:numPr>
          <w:ilvl w:val="0"/>
          <w:numId w:val="3"/>
        </w:numPr>
        <w:shd w:val="clear" w:color="auto" w:fill="FFFFFF"/>
        <w:spacing w:after="0" w:line="240" w:lineRule="auto"/>
        <w:ind w:left="1005"/>
        <w:textAlignment w:val="baseline"/>
        <w:rPr>
          <w:rFonts w:ascii="Roboto" w:hAnsi="Roboto"/>
          <w:color w:val="202A30"/>
          <w:sz w:val="27"/>
          <w:szCs w:val="27"/>
        </w:rPr>
      </w:pPr>
      <w:r>
        <w:rPr>
          <w:rFonts w:ascii="Roboto" w:hAnsi="Roboto"/>
          <w:color w:val="202A30"/>
          <w:sz w:val="27"/>
          <w:szCs w:val="27"/>
        </w:rPr>
        <w:t>if required by or as part of a legal process</w:t>
      </w:r>
    </w:p>
    <w:p w14:paraId="2122F670" w14:textId="77777777" w:rsidR="0071332B" w:rsidRDefault="0071332B" w:rsidP="0071332B">
      <w:pPr>
        <w:pStyle w:val="Heading2"/>
        <w:shd w:val="clear" w:color="auto" w:fill="FFFFFF"/>
        <w:spacing w:before="120" w:beforeAutospacing="0" w:after="180" w:afterAutospacing="0"/>
        <w:textAlignment w:val="baseline"/>
        <w:rPr>
          <w:rFonts w:ascii="Roboto" w:hAnsi="Roboto"/>
          <w:color w:val="003087"/>
          <w:sz w:val="41"/>
          <w:szCs w:val="41"/>
        </w:rPr>
      </w:pPr>
      <w:r>
        <w:rPr>
          <w:rFonts w:ascii="Roboto" w:hAnsi="Roboto"/>
          <w:color w:val="003087"/>
          <w:sz w:val="41"/>
          <w:szCs w:val="41"/>
        </w:rPr>
        <w:t>Reviewing proxy access</w:t>
      </w:r>
    </w:p>
    <w:p w14:paraId="5554ECD2" w14:textId="77777777" w:rsidR="0071332B" w:rsidRDefault="0071332B" w:rsidP="0071332B">
      <w:pPr>
        <w:pStyle w:val="NormalWeb"/>
        <w:shd w:val="clear" w:color="auto" w:fill="FFFFFF"/>
        <w:spacing w:before="0" w:beforeAutospacing="0" w:after="225" w:afterAutospacing="0"/>
        <w:textAlignment w:val="baseline"/>
        <w:rPr>
          <w:rFonts w:ascii="Roboto" w:hAnsi="Roboto"/>
          <w:color w:val="202A30"/>
          <w:sz w:val="27"/>
          <w:szCs w:val="27"/>
        </w:rPr>
      </w:pPr>
      <w:r>
        <w:rPr>
          <w:rFonts w:ascii="Roboto" w:hAnsi="Roboto"/>
          <w:color w:val="202A30"/>
          <w:sz w:val="27"/>
          <w:szCs w:val="27"/>
        </w:rPr>
        <w:t>Proxy access should be reviewed:</w:t>
      </w:r>
    </w:p>
    <w:p w14:paraId="360E1C5E" w14:textId="77777777" w:rsidR="0071332B" w:rsidRDefault="0071332B" w:rsidP="0071332B">
      <w:pPr>
        <w:numPr>
          <w:ilvl w:val="0"/>
          <w:numId w:val="4"/>
        </w:numPr>
        <w:shd w:val="clear" w:color="auto" w:fill="FFFFFF"/>
        <w:spacing w:after="0" w:line="240" w:lineRule="auto"/>
        <w:ind w:left="1005"/>
        <w:textAlignment w:val="baseline"/>
        <w:rPr>
          <w:rFonts w:ascii="Roboto" w:hAnsi="Roboto"/>
          <w:color w:val="202A30"/>
          <w:sz w:val="27"/>
          <w:szCs w:val="27"/>
        </w:rPr>
      </w:pPr>
      <w:r>
        <w:rPr>
          <w:rFonts w:ascii="Roboto" w:hAnsi="Roboto"/>
          <w:color w:val="202A30"/>
          <w:sz w:val="27"/>
          <w:szCs w:val="27"/>
        </w:rPr>
        <w:t>routinely, in case patient or proxy circumstances change</w:t>
      </w:r>
    </w:p>
    <w:p w14:paraId="56630116" w14:textId="77777777" w:rsidR="0071332B" w:rsidRDefault="0071332B" w:rsidP="0071332B">
      <w:pPr>
        <w:numPr>
          <w:ilvl w:val="0"/>
          <w:numId w:val="4"/>
        </w:numPr>
        <w:shd w:val="clear" w:color="auto" w:fill="FFFFFF"/>
        <w:spacing w:after="0" w:line="240" w:lineRule="auto"/>
        <w:ind w:left="1005"/>
        <w:textAlignment w:val="baseline"/>
        <w:rPr>
          <w:rFonts w:ascii="Roboto" w:hAnsi="Roboto"/>
          <w:color w:val="202A30"/>
          <w:sz w:val="27"/>
          <w:szCs w:val="27"/>
        </w:rPr>
      </w:pPr>
      <w:r>
        <w:rPr>
          <w:rFonts w:ascii="Roboto" w:hAnsi="Roboto"/>
          <w:color w:val="202A30"/>
          <w:sz w:val="27"/>
          <w:szCs w:val="27"/>
        </w:rPr>
        <w:t>if the patient loses capacity to give consent (unless this possibility was previously discussed, and the outcome of the discussion recorded in the notes)</w:t>
      </w:r>
    </w:p>
    <w:p w14:paraId="2F2D9903" w14:textId="77777777" w:rsidR="0071332B" w:rsidRDefault="0071332B" w:rsidP="0071332B">
      <w:pPr>
        <w:numPr>
          <w:ilvl w:val="0"/>
          <w:numId w:val="4"/>
        </w:numPr>
        <w:shd w:val="clear" w:color="auto" w:fill="FFFFFF"/>
        <w:spacing w:after="0" w:line="240" w:lineRule="auto"/>
        <w:ind w:left="1005"/>
        <w:textAlignment w:val="baseline"/>
        <w:rPr>
          <w:rFonts w:ascii="Roboto" w:hAnsi="Roboto"/>
          <w:color w:val="202A30"/>
          <w:sz w:val="27"/>
          <w:szCs w:val="27"/>
        </w:rPr>
      </w:pPr>
      <w:r>
        <w:rPr>
          <w:rFonts w:ascii="Roboto" w:hAnsi="Roboto"/>
          <w:color w:val="202A30"/>
          <w:sz w:val="27"/>
          <w:szCs w:val="27"/>
        </w:rPr>
        <w:t>where proxy access was given on behalf of an adult patient lacking capacity and the degree of capacity changes for the better</w:t>
      </w:r>
    </w:p>
    <w:p w14:paraId="0353D0C6" w14:textId="77777777" w:rsidR="0071332B" w:rsidRPr="0071332B" w:rsidRDefault="0071332B" w:rsidP="0071332B">
      <w:pPr>
        <w:numPr>
          <w:ilvl w:val="0"/>
          <w:numId w:val="4"/>
        </w:numPr>
        <w:shd w:val="clear" w:color="auto" w:fill="FFFFFF"/>
        <w:spacing w:after="0" w:line="240" w:lineRule="auto"/>
        <w:ind w:left="1005"/>
        <w:textAlignment w:val="baseline"/>
        <w:rPr>
          <w:rFonts w:ascii="Roboto" w:hAnsi="Roboto"/>
          <w:b/>
          <w:bCs/>
          <w:color w:val="000000" w:themeColor="text1"/>
          <w:sz w:val="27"/>
          <w:szCs w:val="27"/>
        </w:rPr>
      </w:pPr>
      <w:r>
        <w:rPr>
          <w:rFonts w:ascii="Roboto" w:hAnsi="Roboto"/>
          <w:color w:val="202A30"/>
          <w:sz w:val="27"/>
          <w:szCs w:val="27"/>
        </w:rPr>
        <w:t>when a young person reaches the age identified in </w:t>
      </w:r>
      <w:hyperlink r:id="rId13" w:history="1">
        <w:r w:rsidRPr="0071332B">
          <w:rPr>
            <w:rStyle w:val="Hyperlink"/>
            <w:rFonts w:ascii="inherit" w:hAnsi="inherit"/>
            <w:color w:val="000000" w:themeColor="text1"/>
            <w:sz w:val="27"/>
            <w:szCs w:val="27"/>
            <w:u w:val="none"/>
            <w:bdr w:val="none" w:sz="0" w:space="0" w:color="auto" w:frame="1"/>
          </w:rPr>
          <w:t>the</w:t>
        </w:r>
        <w:r w:rsidRPr="0071332B">
          <w:rPr>
            <w:rStyle w:val="Hyperlink"/>
            <w:rFonts w:ascii="inherit" w:hAnsi="inherit"/>
            <w:b/>
            <w:bCs/>
            <w:color w:val="000000" w:themeColor="text1"/>
            <w:sz w:val="27"/>
            <w:szCs w:val="27"/>
            <w:bdr w:val="none" w:sz="0" w:space="0" w:color="auto" w:frame="1"/>
          </w:rPr>
          <w:t xml:space="preserve"> RCGP guidance</w:t>
        </w:r>
      </w:hyperlink>
    </w:p>
    <w:p w14:paraId="28AD125A" w14:textId="77777777" w:rsidR="0071332B" w:rsidRDefault="0071332B" w:rsidP="0071332B">
      <w:pPr>
        <w:jc w:val="center"/>
        <w:rPr>
          <w:b/>
          <w:bCs/>
          <w:sz w:val="48"/>
          <w:szCs w:val="48"/>
        </w:rPr>
      </w:pPr>
    </w:p>
    <w:p w14:paraId="511DF5E9" w14:textId="77777777" w:rsidR="00E73718" w:rsidRDefault="00E73718" w:rsidP="00E73718">
      <w:pPr>
        <w:shd w:val="clear" w:color="auto" w:fill="FFFFFF"/>
        <w:spacing w:before="120" w:after="180" w:line="240" w:lineRule="auto"/>
        <w:textAlignment w:val="baseline"/>
        <w:outlineLvl w:val="1"/>
        <w:rPr>
          <w:rFonts w:ascii="Roboto" w:eastAsia="Times New Roman" w:hAnsi="Roboto" w:cs="Times New Roman"/>
          <w:b/>
          <w:bCs/>
          <w:color w:val="003087"/>
          <w:kern w:val="0"/>
          <w:sz w:val="41"/>
          <w:szCs w:val="41"/>
          <w:lang w:eastAsia="en-GB"/>
          <w14:ligatures w14:val="none"/>
        </w:rPr>
      </w:pPr>
    </w:p>
    <w:p w14:paraId="2D8785BE" w14:textId="77777777" w:rsidR="00E73718" w:rsidRDefault="00E73718" w:rsidP="00E73718">
      <w:pPr>
        <w:shd w:val="clear" w:color="auto" w:fill="FFFFFF"/>
        <w:spacing w:before="120" w:after="180" w:line="240" w:lineRule="auto"/>
        <w:textAlignment w:val="baseline"/>
        <w:outlineLvl w:val="1"/>
        <w:rPr>
          <w:rFonts w:ascii="Roboto" w:eastAsia="Times New Roman" w:hAnsi="Roboto" w:cs="Times New Roman"/>
          <w:b/>
          <w:bCs/>
          <w:color w:val="003087"/>
          <w:kern w:val="0"/>
          <w:sz w:val="41"/>
          <w:szCs w:val="41"/>
          <w:lang w:eastAsia="en-GB"/>
          <w14:ligatures w14:val="none"/>
        </w:rPr>
      </w:pPr>
    </w:p>
    <w:p w14:paraId="23488335" w14:textId="77777777" w:rsidR="00E73718" w:rsidRDefault="00E73718" w:rsidP="00E73718">
      <w:pPr>
        <w:shd w:val="clear" w:color="auto" w:fill="FFFFFF"/>
        <w:spacing w:before="120" w:after="180" w:line="240" w:lineRule="auto"/>
        <w:textAlignment w:val="baseline"/>
        <w:outlineLvl w:val="1"/>
        <w:rPr>
          <w:rFonts w:ascii="Roboto" w:eastAsia="Times New Roman" w:hAnsi="Roboto" w:cs="Times New Roman"/>
          <w:b/>
          <w:bCs/>
          <w:color w:val="003087"/>
          <w:kern w:val="0"/>
          <w:sz w:val="41"/>
          <w:szCs w:val="41"/>
          <w:lang w:eastAsia="en-GB"/>
          <w14:ligatures w14:val="none"/>
        </w:rPr>
      </w:pPr>
    </w:p>
    <w:p w14:paraId="00AB2CCD" w14:textId="77777777" w:rsidR="00E73718" w:rsidRDefault="00E73718" w:rsidP="00E73718">
      <w:pPr>
        <w:shd w:val="clear" w:color="auto" w:fill="FFFFFF"/>
        <w:spacing w:before="120" w:after="180" w:line="240" w:lineRule="auto"/>
        <w:textAlignment w:val="baseline"/>
        <w:outlineLvl w:val="1"/>
        <w:rPr>
          <w:rFonts w:ascii="Roboto" w:eastAsia="Times New Roman" w:hAnsi="Roboto" w:cs="Times New Roman"/>
          <w:b/>
          <w:bCs/>
          <w:color w:val="003087"/>
          <w:kern w:val="0"/>
          <w:sz w:val="41"/>
          <w:szCs w:val="41"/>
          <w:lang w:eastAsia="en-GB"/>
          <w14:ligatures w14:val="none"/>
        </w:rPr>
      </w:pPr>
    </w:p>
    <w:p w14:paraId="258F88E4" w14:textId="77777777" w:rsidR="00E73718" w:rsidRDefault="00E73718" w:rsidP="00E73718">
      <w:pPr>
        <w:shd w:val="clear" w:color="auto" w:fill="FFFFFF"/>
        <w:spacing w:before="120" w:after="180" w:line="240" w:lineRule="auto"/>
        <w:textAlignment w:val="baseline"/>
        <w:outlineLvl w:val="1"/>
        <w:rPr>
          <w:rFonts w:ascii="Roboto" w:eastAsia="Times New Roman" w:hAnsi="Roboto" w:cs="Times New Roman"/>
          <w:b/>
          <w:bCs/>
          <w:color w:val="003087"/>
          <w:kern w:val="0"/>
          <w:sz w:val="41"/>
          <w:szCs w:val="41"/>
          <w:lang w:eastAsia="en-GB"/>
          <w14:ligatures w14:val="none"/>
        </w:rPr>
      </w:pPr>
    </w:p>
    <w:p w14:paraId="62573484" w14:textId="77777777" w:rsidR="00E73718" w:rsidRDefault="00E73718" w:rsidP="00E73718">
      <w:pPr>
        <w:shd w:val="clear" w:color="auto" w:fill="FFFFFF"/>
        <w:spacing w:before="120" w:after="180" w:line="240" w:lineRule="auto"/>
        <w:textAlignment w:val="baseline"/>
        <w:outlineLvl w:val="1"/>
        <w:rPr>
          <w:rFonts w:ascii="Roboto" w:eastAsia="Times New Roman" w:hAnsi="Roboto" w:cs="Times New Roman"/>
          <w:b/>
          <w:bCs/>
          <w:color w:val="003087"/>
          <w:kern w:val="0"/>
          <w:sz w:val="41"/>
          <w:szCs w:val="41"/>
          <w:lang w:eastAsia="en-GB"/>
          <w14:ligatures w14:val="none"/>
        </w:rPr>
      </w:pPr>
    </w:p>
    <w:p w14:paraId="3514A866" w14:textId="77777777" w:rsidR="00E73718" w:rsidRDefault="00E73718" w:rsidP="00E73718">
      <w:pPr>
        <w:shd w:val="clear" w:color="auto" w:fill="FFFFFF"/>
        <w:spacing w:before="120" w:after="180" w:line="240" w:lineRule="auto"/>
        <w:textAlignment w:val="baseline"/>
        <w:outlineLvl w:val="1"/>
        <w:rPr>
          <w:rFonts w:ascii="Roboto" w:eastAsia="Times New Roman" w:hAnsi="Roboto" w:cs="Times New Roman"/>
          <w:b/>
          <w:bCs/>
          <w:color w:val="003087"/>
          <w:kern w:val="0"/>
          <w:sz w:val="41"/>
          <w:szCs w:val="41"/>
          <w:lang w:eastAsia="en-GB"/>
          <w14:ligatures w14:val="none"/>
        </w:rPr>
      </w:pPr>
    </w:p>
    <w:p w14:paraId="63498C2D" w14:textId="77777777" w:rsidR="00E73718" w:rsidRDefault="00E73718" w:rsidP="00E73718">
      <w:pPr>
        <w:shd w:val="clear" w:color="auto" w:fill="FFFFFF"/>
        <w:spacing w:before="120" w:after="180" w:line="240" w:lineRule="auto"/>
        <w:textAlignment w:val="baseline"/>
        <w:outlineLvl w:val="1"/>
        <w:rPr>
          <w:rFonts w:ascii="Roboto" w:eastAsia="Times New Roman" w:hAnsi="Roboto" w:cs="Times New Roman"/>
          <w:b/>
          <w:bCs/>
          <w:color w:val="003087"/>
          <w:kern w:val="0"/>
          <w:sz w:val="41"/>
          <w:szCs w:val="41"/>
          <w:lang w:eastAsia="en-GB"/>
          <w14:ligatures w14:val="none"/>
        </w:rPr>
      </w:pPr>
    </w:p>
    <w:p w14:paraId="79CD071B" w14:textId="748D141D" w:rsidR="00E73718" w:rsidRPr="00E73718" w:rsidRDefault="00E73718" w:rsidP="00E73718">
      <w:pPr>
        <w:shd w:val="clear" w:color="auto" w:fill="FFFFFF"/>
        <w:spacing w:before="120" w:after="180" w:line="240" w:lineRule="auto"/>
        <w:textAlignment w:val="baseline"/>
        <w:outlineLvl w:val="1"/>
        <w:rPr>
          <w:rFonts w:ascii="Roboto" w:eastAsia="Times New Roman" w:hAnsi="Roboto" w:cs="Times New Roman"/>
          <w:b/>
          <w:bCs/>
          <w:color w:val="003087"/>
          <w:kern w:val="0"/>
          <w:sz w:val="41"/>
          <w:szCs w:val="41"/>
          <w:lang w:eastAsia="en-GB"/>
          <w14:ligatures w14:val="none"/>
        </w:rPr>
      </w:pPr>
      <w:r w:rsidRPr="00E73718">
        <w:rPr>
          <w:rFonts w:ascii="Roboto" w:eastAsia="Times New Roman" w:hAnsi="Roboto" w:cs="Times New Roman"/>
          <w:b/>
          <w:bCs/>
          <w:color w:val="003087"/>
          <w:kern w:val="0"/>
          <w:sz w:val="41"/>
          <w:szCs w:val="41"/>
          <w:lang w:eastAsia="en-GB"/>
          <w14:ligatures w14:val="none"/>
        </w:rPr>
        <w:lastRenderedPageBreak/>
        <w:t>Summary</w:t>
      </w:r>
    </w:p>
    <w:p w14:paraId="49968374" w14:textId="77777777" w:rsidR="00E73718" w:rsidRPr="00E73718" w:rsidRDefault="00E73718" w:rsidP="00E73718">
      <w:pPr>
        <w:numPr>
          <w:ilvl w:val="0"/>
          <w:numId w:val="5"/>
        </w:numPr>
        <w:shd w:val="clear" w:color="auto" w:fill="FFFFFF"/>
        <w:spacing w:after="0" w:line="240" w:lineRule="auto"/>
        <w:ind w:left="1005"/>
        <w:textAlignment w:val="baseline"/>
        <w:rPr>
          <w:rFonts w:ascii="Roboto" w:eastAsia="Times New Roman" w:hAnsi="Roboto" w:cs="Times New Roman"/>
          <w:color w:val="202A30"/>
          <w:kern w:val="0"/>
          <w:sz w:val="27"/>
          <w:szCs w:val="27"/>
          <w:lang w:eastAsia="en-GB"/>
          <w14:ligatures w14:val="none"/>
        </w:rPr>
      </w:pPr>
      <w:r w:rsidRPr="00E73718">
        <w:rPr>
          <w:rFonts w:ascii="Roboto" w:eastAsia="Times New Roman" w:hAnsi="Roboto" w:cs="Times New Roman"/>
          <w:color w:val="202A30"/>
          <w:kern w:val="0"/>
          <w:sz w:val="27"/>
          <w:szCs w:val="27"/>
          <w:lang w:eastAsia="en-GB"/>
          <w14:ligatures w14:val="none"/>
        </w:rPr>
        <w:t>Patients are recommended to apply for formal proxy access if they want someone else to have access to their record.</w:t>
      </w:r>
    </w:p>
    <w:p w14:paraId="2E3DE1AB" w14:textId="77777777" w:rsidR="00E73718" w:rsidRPr="00E73718" w:rsidRDefault="00E73718" w:rsidP="00E73718">
      <w:pPr>
        <w:numPr>
          <w:ilvl w:val="0"/>
          <w:numId w:val="5"/>
        </w:numPr>
        <w:shd w:val="clear" w:color="auto" w:fill="FFFFFF"/>
        <w:spacing w:after="0" w:line="240" w:lineRule="auto"/>
        <w:ind w:left="1005"/>
        <w:textAlignment w:val="baseline"/>
        <w:rPr>
          <w:rFonts w:ascii="Roboto" w:eastAsia="Times New Roman" w:hAnsi="Roboto" w:cs="Times New Roman"/>
          <w:color w:val="202A30"/>
          <w:kern w:val="0"/>
          <w:sz w:val="27"/>
          <w:szCs w:val="27"/>
          <w:lang w:eastAsia="en-GB"/>
          <w14:ligatures w14:val="none"/>
        </w:rPr>
      </w:pPr>
      <w:r w:rsidRPr="00E73718">
        <w:rPr>
          <w:rFonts w:ascii="Roboto" w:eastAsia="Times New Roman" w:hAnsi="Roboto" w:cs="Times New Roman"/>
          <w:color w:val="202A30"/>
          <w:kern w:val="0"/>
          <w:sz w:val="27"/>
          <w:szCs w:val="27"/>
          <w:lang w:eastAsia="en-GB"/>
          <w14:ligatures w14:val="none"/>
        </w:rPr>
        <w:t>Patients may have more than one proxy and can decide the level of access appropriate for each proxy.</w:t>
      </w:r>
    </w:p>
    <w:p w14:paraId="17071F83" w14:textId="77777777" w:rsidR="00E73718" w:rsidRPr="00E73718" w:rsidRDefault="00E73718" w:rsidP="00E73718">
      <w:pPr>
        <w:numPr>
          <w:ilvl w:val="0"/>
          <w:numId w:val="5"/>
        </w:numPr>
        <w:shd w:val="clear" w:color="auto" w:fill="FFFFFF"/>
        <w:spacing w:after="0" w:line="240" w:lineRule="auto"/>
        <w:ind w:left="1005"/>
        <w:textAlignment w:val="baseline"/>
        <w:rPr>
          <w:rFonts w:ascii="Roboto" w:eastAsia="Times New Roman" w:hAnsi="Roboto" w:cs="Times New Roman"/>
          <w:color w:val="202A30"/>
          <w:kern w:val="0"/>
          <w:sz w:val="27"/>
          <w:szCs w:val="27"/>
          <w:lang w:eastAsia="en-GB"/>
          <w14:ligatures w14:val="none"/>
        </w:rPr>
      </w:pPr>
      <w:r w:rsidRPr="00E73718">
        <w:rPr>
          <w:rFonts w:ascii="Roboto" w:eastAsia="Times New Roman" w:hAnsi="Roboto" w:cs="Times New Roman"/>
          <w:color w:val="202A30"/>
          <w:kern w:val="0"/>
          <w:sz w:val="27"/>
          <w:szCs w:val="27"/>
          <w:lang w:eastAsia="en-GB"/>
          <w14:ligatures w14:val="none"/>
        </w:rPr>
        <w:t>The importance of keeping personal information secure should be explained to patients and their proxies.</w:t>
      </w:r>
    </w:p>
    <w:p w14:paraId="07509586" w14:textId="77777777" w:rsidR="00E73718" w:rsidRPr="00E73718" w:rsidRDefault="00E73718" w:rsidP="00E73718">
      <w:pPr>
        <w:numPr>
          <w:ilvl w:val="0"/>
          <w:numId w:val="5"/>
        </w:numPr>
        <w:shd w:val="clear" w:color="auto" w:fill="FFFFFF"/>
        <w:spacing w:after="0" w:line="240" w:lineRule="auto"/>
        <w:ind w:left="1005"/>
        <w:textAlignment w:val="baseline"/>
        <w:rPr>
          <w:rFonts w:ascii="Roboto" w:eastAsia="Times New Roman" w:hAnsi="Roboto" w:cs="Times New Roman"/>
          <w:color w:val="202A30"/>
          <w:kern w:val="0"/>
          <w:sz w:val="27"/>
          <w:szCs w:val="27"/>
          <w:lang w:eastAsia="en-GB"/>
          <w14:ligatures w14:val="none"/>
        </w:rPr>
      </w:pPr>
      <w:r w:rsidRPr="00E73718">
        <w:rPr>
          <w:rFonts w:ascii="Roboto" w:eastAsia="Times New Roman" w:hAnsi="Roboto" w:cs="Times New Roman"/>
          <w:color w:val="202A30"/>
          <w:kern w:val="0"/>
          <w:sz w:val="27"/>
          <w:szCs w:val="27"/>
          <w:lang w:eastAsia="en-GB"/>
          <w14:ligatures w14:val="none"/>
        </w:rPr>
        <w:t>Proxy access may be possible when a patient does not have the capacity to consent to it.</w:t>
      </w:r>
    </w:p>
    <w:p w14:paraId="3984DA3F" w14:textId="77777777" w:rsidR="00E73718" w:rsidRPr="00E73718" w:rsidRDefault="00E73718" w:rsidP="00E73718">
      <w:pPr>
        <w:numPr>
          <w:ilvl w:val="0"/>
          <w:numId w:val="5"/>
        </w:numPr>
        <w:shd w:val="clear" w:color="auto" w:fill="FFFFFF"/>
        <w:spacing w:after="0" w:line="240" w:lineRule="auto"/>
        <w:ind w:left="1005"/>
        <w:textAlignment w:val="baseline"/>
        <w:rPr>
          <w:rFonts w:ascii="Roboto" w:eastAsia="Times New Roman" w:hAnsi="Roboto" w:cs="Times New Roman"/>
          <w:color w:val="202A30"/>
          <w:kern w:val="0"/>
          <w:sz w:val="27"/>
          <w:szCs w:val="27"/>
          <w:lang w:eastAsia="en-GB"/>
          <w14:ligatures w14:val="none"/>
        </w:rPr>
      </w:pPr>
      <w:r w:rsidRPr="00E73718">
        <w:rPr>
          <w:rFonts w:ascii="Roboto" w:eastAsia="Times New Roman" w:hAnsi="Roboto" w:cs="Times New Roman"/>
          <w:color w:val="202A30"/>
          <w:kern w:val="0"/>
          <w:sz w:val="27"/>
          <w:szCs w:val="27"/>
          <w:lang w:eastAsia="en-GB"/>
          <w14:ligatures w14:val="none"/>
        </w:rPr>
        <w:t>Proxy access may be refused or withdrawn by a practice when there are concerns about safeguarding or coercion or a change in the capacity to consent.</w:t>
      </w:r>
    </w:p>
    <w:p w14:paraId="38B56EF1" w14:textId="77777777" w:rsidR="00E73718" w:rsidRPr="00E73718" w:rsidRDefault="00E73718" w:rsidP="00E73718">
      <w:pPr>
        <w:numPr>
          <w:ilvl w:val="0"/>
          <w:numId w:val="5"/>
        </w:numPr>
        <w:shd w:val="clear" w:color="auto" w:fill="FFFFFF"/>
        <w:spacing w:after="0" w:line="240" w:lineRule="auto"/>
        <w:ind w:left="1005"/>
        <w:textAlignment w:val="baseline"/>
        <w:rPr>
          <w:rFonts w:ascii="Roboto" w:eastAsia="Times New Roman" w:hAnsi="Roboto" w:cs="Times New Roman"/>
          <w:color w:val="202A30"/>
          <w:kern w:val="0"/>
          <w:sz w:val="27"/>
          <w:szCs w:val="27"/>
          <w:lang w:eastAsia="en-GB"/>
          <w14:ligatures w14:val="none"/>
        </w:rPr>
      </w:pPr>
      <w:r w:rsidRPr="00E73718">
        <w:rPr>
          <w:rFonts w:ascii="Roboto" w:eastAsia="Times New Roman" w:hAnsi="Roboto" w:cs="Times New Roman"/>
          <w:color w:val="202A30"/>
          <w:kern w:val="0"/>
          <w:sz w:val="27"/>
          <w:szCs w:val="27"/>
          <w:lang w:eastAsia="en-GB"/>
          <w14:ligatures w14:val="none"/>
        </w:rPr>
        <w:t>Access to children’s records is subject to specific rules based on specific age thresholds, set out in the RCGP guidance.</w:t>
      </w:r>
    </w:p>
    <w:p w14:paraId="236DD50A" w14:textId="77777777" w:rsidR="00E73718" w:rsidRPr="00E73718" w:rsidRDefault="00E73718" w:rsidP="00E73718">
      <w:pPr>
        <w:numPr>
          <w:ilvl w:val="0"/>
          <w:numId w:val="5"/>
        </w:numPr>
        <w:shd w:val="clear" w:color="auto" w:fill="FFFFFF"/>
        <w:spacing w:after="0" w:line="240" w:lineRule="auto"/>
        <w:ind w:left="1005"/>
        <w:textAlignment w:val="baseline"/>
        <w:rPr>
          <w:rFonts w:ascii="Roboto" w:eastAsia="Times New Roman" w:hAnsi="Roboto" w:cs="Times New Roman"/>
          <w:color w:val="202A30"/>
          <w:kern w:val="0"/>
          <w:sz w:val="27"/>
          <w:szCs w:val="27"/>
          <w:lang w:eastAsia="en-GB"/>
          <w14:ligatures w14:val="none"/>
        </w:rPr>
      </w:pPr>
      <w:r w:rsidRPr="00E73718">
        <w:rPr>
          <w:rFonts w:ascii="Roboto" w:eastAsia="Times New Roman" w:hAnsi="Roboto" w:cs="Times New Roman"/>
          <w:color w:val="202A30"/>
          <w:kern w:val="0"/>
          <w:sz w:val="27"/>
          <w:szCs w:val="27"/>
          <w:lang w:eastAsia="en-GB"/>
          <w14:ligatures w14:val="none"/>
        </w:rPr>
        <w:t>Care home staff can be given proxy access to residents’ records for ordering repeat prescriptions.</w:t>
      </w:r>
    </w:p>
    <w:p w14:paraId="4792B108" w14:textId="77777777" w:rsidR="00E73718" w:rsidRPr="00E73718" w:rsidRDefault="00E73718" w:rsidP="00E73718">
      <w:pPr>
        <w:shd w:val="clear" w:color="auto" w:fill="FFFFFF"/>
        <w:spacing w:after="0" w:line="240" w:lineRule="auto"/>
        <w:textAlignment w:val="baseline"/>
        <w:rPr>
          <w:rFonts w:ascii="Roboto" w:eastAsia="Times New Roman" w:hAnsi="Roboto" w:cs="Times New Roman"/>
          <w:color w:val="202A30"/>
          <w:kern w:val="0"/>
          <w:sz w:val="27"/>
          <w:szCs w:val="27"/>
          <w:lang w:eastAsia="en-GB"/>
          <w14:ligatures w14:val="none"/>
        </w:rPr>
      </w:pPr>
      <w:r w:rsidRPr="00E73718">
        <w:rPr>
          <w:rFonts w:ascii="inherit" w:eastAsia="Times New Roman" w:hAnsi="inherit" w:cs="Times New Roman"/>
          <w:b/>
          <w:bCs/>
          <w:color w:val="202A30"/>
          <w:kern w:val="0"/>
          <w:sz w:val="27"/>
          <w:szCs w:val="27"/>
          <w:bdr w:val="none" w:sz="0" w:space="0" w:color="auto" w:frame="1"/>
          <w:lang w:eastAsia="en-GB"/>
          <w14:ligatures w14:val="none"/>
        </w:rPr>
        <w:t>Do</w:t>
      </w:r>
    </w:p>
    <w:p w14:paraId="619E55EC" w14:textId="77777777" w:rsidR="00E73718" w:rsidRPr="00E73718" w:rsidRDefault="00E73718" w:rsidP="00E73718">
      <w:pPr>
        <w:numPr>
          <w:ilvl w:val="0"/>
          <w:numId w:val="6"/>
        </w:numPr>
        <w:shd w:val="clear" w:color="auto" w:fill="FFFFFF"/>
        <w:spacing w:after="0" w:line="240" w:lineRule="auto"/>
        <w:ind w:left="1005"/>
        <w:textAlignment w:val="baseline"/>
        <w:rPr>
          <w:rFonts w:ascii="Roboto" w:eastAsia="Times New Roman" w:hAnsi="Roboto" w:cs="Times New Roman"/>
          <w:color w:val="202A30"/>
          <w:kern w:val="0"/>
          <w:sz w:val="27"/>
          <w:szCs w:val="27"/>
          <w:lang w:eastAsia="en-GB"/>
          <w14:ligatures w14:val="none"/>
        </w:rPr>
      </w:pPr>
      <w:r w:rsidRPr="00E73718">
        <w:rPr>
          <w:rFonts w:ascii="Roboto" w:eastAsia="Times New Roman" w:hAnsi="Roboto" w:cs="Times New Roman"/>
          <w:color w:val="202A30"/>
          <w:kern w:val="0"/>
          <w:sz w:val="27"/>
          <w:szCs w:val="27"/>
          <w:lang w:eastAsia="en-GB"/>
          <w14:ligatures w14:val="none"/>
        </w:rPr>
        <w:t>Provide patients with information about proxy access.</w:t>
      </w:r>
    </w:p>
    <w:p w14:paraId="12532CA8" w14:textId="77777777" w:rsidR="00E73718" w:rsidRPr="00E73718" w:rsidRDefault="00E73718" w:rsidP="00E73718">
      <w:pPr>
        <w:numPr>
          <w:ilvl w:val="0"/>
          <w:numId w:val="6"/>
        </w:numPr>
        <w:shd w:val="clear" w:color="auto" w:fill="FFFFFF"/>
        <w:spacing w:after="0" w:line="240" w:lineRule="auto"/>
        <w:ind w:left="1005"/>
        <w:textAlignment w:val="baseline"/>
        <w:rPr>
          <w:rFonts w:ascii="Roboto" w:eastAsia="Times New Roman" w:hAnsi="Roboto" w:cs="Times New Roman"/>
          <w:color w:val="202A30"/>
          <w:kern w:val="0"/>
          <w:sz w:val="27"/>
          <w:szCs w:val="27"/>
          <w:lang w:eastAsia="en-GB"/>
          <w14:ligatures w14:val="none"/>
        </w:rPr>
      </w:pPr>
      <w:r w:rsidRPr="00E73718">
        <w:rPr>
          <w:rFonts w:ascii="Roboto" w:eastAsia="Times New Roman" w:hAnsi="Roboto" w:cs="Times New Roman"/>
          <w:color w:val="202A30"/>
          <w:kern w:val="0"/>
          <w:sz w:val="27"/>
          <w:szCs w:val="27"/>
          <w:lang w:eastAsia="en-GB"/>
          <w14:ligatures w14:val="none"/>
        </w:rPr>
        <w:t>Brief staff about proxy access issues and processes.</w:t>
      </w:r>
    </w:p>
    <w:p w14:paraId="1BE4EE6B" w14:textId="77777777" w:rsidR="00E73718" w:rsidRPr="00E73718" w:rsidRDefault="00E73718" w:rsidP="00E73718">
      <w:pPr>
        <w:numPr>
          <w:ilvl w:val="0"/>
          <w:numId w:val="6"/>
        </w:numPr>
        <w:shd w:val="clear" w:color="auto" w:fill="FFFFFF"/>
        <w:spacing w:after="0" w:line="240" w:lineRule="auto"/>
        <w:ind w:left="1005"/>
        <w:textAlignment w:val="baseline"/>
        <w:rPr>
          <w:rFonts w:ascii="Roboto" w:eastAsia="Times New Roman" w:hAnsi="Roboto" w:cs="Times New Roman"/>
          <w:color w:val="202A30"/>
          <w:kern w:val="0"/>
          <w:sz w:val="27"/>
          <w:szCs w:val="27"/>
          <w:lang w:eastAsia="en-GB"/>
          <w14:ligatures w14:val="none"/>
        </w:rPr>
      </w:pPr>
      <w:r w:rsidRPr="00E73718">
        <w:rPr>
          <w:rFonts w:ascii="Roboto" w:eastAsia="Times New Roman" w:hAnsi="Roboto" w:cs="Times New Roman"/>
          <w:color w:val="202A30"/>
          <w:kern w:val="0"/>
          <w:sz w:val="27"/>
          <w:szCs w:val="27"/>
          <w:lang w:eastAsia="en-GB"/>
          <w14:ligatures w14:val="none"/>
        </w:rPr>
        <w:t>Produce a practice proxy access protocol.</w:t>
      </w:r>
    </w:p>
    <w:p w14:paraId="389B39FE" w14:textId="77777777" w:rsidR="00E73718" w:rsidRPr="00E73718" w:rsidRDefault="00E73718" w:rsidP="00E73718">
      <w:pPr>
        <w:numPr>
          <w:ilvl w:val="0"/>
          <w:numId w:val="6"/>
        </w:numPr>
        <w:shd w:val="clear" w:color="auto" w:fill="FFFFFF"/>
        <w:spacing w:after="0" w:line="240" w:lineRule="auto"/>
        <w:ind w:left="1005"/>
        <w:textAlignment w:val="baseline"/>
        <w:rPr>
          <w:rFonts w:ascii="Roboto" w:eastAsia="Times New Roman" w:hAnsi="Roboto" w:cs="Times New Roman"/>
          <w:color w:val="202A30"/>
          <w:kern w:val="0"/>
          <w:sz w:val="27"/>
          <w:szCs w:val="27"/>
          <w:lang w:eastAsia="en-GB"/>
          <w14:ligatures w14:val="none"/>
        </w:rPr>
      </w:pPr>
      <w:r w:rsidRPr="00E73718">
        <w:rPr>
          <w:rFonts w:ascii="Roboto" w:eastAsia="Times New Roman" w:hAnsi="Roboto" w:cs="Times New Roman"/>
          <w:color w:val="202A30"/>
          <w:kern w:val="0"/>
          <w:sz w:val="27"/>
          <w:szCs w:val="27"/>
          <w:lang w:eastAsia="en-GB"/>
          <w14:ligatures w14:val="none"/>
        </w:rPr>
        <w:t>Review access by a proxy to a patient’s record regularly.</w:t>
      </w:r>
    </w:p>
    <w:p w14:paraId="360C84D0" w14:textId="77777777" w:rsidR="00E73718" w:rsidRPr="00E73718" w:rsidRDefault="00E73718" w:rsidP="00E73718">
      <w:pPr>
        <w:numPr>
          <w:ilvl w:val="0"/>
          <w:numId w:val="6"/>
        </w:numPr>
        <w:shd w:val="clear" w:color="auto" w:fill="FFFFFF"/>
        <w:spacing w:after="0" w:line="240" w:lineRule="auto"/>
        <w:ind w:left="1005"/>
        <w:textAlignment w:val="baseline"/>
        <w:rPr>
          <w:rFonts w:ascii="Roboto" w:eastAsia="Times New Roman" w:hAnsi="Roboto" w:cs="Times New Roman"/>
          <w:color w:val="202A30"/>
          <w:kern w:val="0"/>
          <w:sz w:val="27"/>
          <w:szCs w:val="27"/>
          <w:lang w:eastAsia="en-GB"/>
          <w14:ligatures w14:val="none"/>
        </w:rPr>
      </w:pPr>
      <w:r w:rsidRPr="00E73718">
        <w:rPr>
          <w:rFonts w:ascii="Roboto" w:eastAsia="Times New Roman" w:hAnsi="Roboto" w:cs="Times New Roman"/>
          <w:color w:val="202A30"/>
          <w:kern w:val="0"/>
          <w:sz w:val="27"/>
          <w:szCs w:val="27"/>
          <w:lang w:eastAsia="en-GB"/>
          <w14:ligatures w14:val="none"/>
        </w:rPr>
        <w:t>Record decisions about proxy access requests in the patient’s record.</w:t>
      </w:r>
    </w:p>
    <w:p w14:paraId="194FFA9A" w14:textId="77777777" w:rsidR="00E73718" w:rsidRPr="00E73718" w:rsidRDefault="00E73718" w:rsidP="00E73718">
      <w:pPr>
        <w:numPr>
          <w:ilvl w:val="0"/>
          <w:numId w:val="6"/>
        </w:numPr>
        <w:shd w:val="clear" w:color="auto" w:fill="FFFFFF"/>
        <w:spacing w:after="0" w:line="240" w:lineRule="auto"/>
        <w:ind w:left="1005"/>
        <w:textAlignment w:val="baseline"/>
        <w:rPr>
          <w:rFonts w:ascii="Roboto" w:eastAsia="Times New Roman" w:hAnsi="Roboto" w:cs="Times New Roman"/>
          <w:color w:val="202A30"/>
          <w:kern w:val="0"/>
          <w:sz w:val="27"/>
          <w:szCs w:val="27"/>
          <w:lang w:eastAsia="en-GB"/>
          <w14:ligatures w14:val="none"/>
        </w:rPr>
      </w:pPr>
      <w:r w:rsidRPr="00E73718">
        <w:rPr>
          <w:rFonts w:ascii="Roboto" w:eastAsia="Times New Roman" w:hAnsi="Roboto" w:cs="Times New Roman"/>
          <w:color w:val="202A30"/>
          <w:kern w:val="0"/>
          <w:sz w:val="27"/>
          <w:szCs w:val="27"/>
          <w:lang w:eastAsia="en-GB"/>
          <w14:ligatures w14:val="none"/>
        </w:rPr>
        <w:t>Ensure your proxy access application processes are up-to-date and provide safeguards for patients (for example, include identity checks and assess the risk of coercion).</w:t>
      </w:r>
    </w:p>
    <w:p w14:paraId="2C4DB406" w14:textId="77777777" w:rsidR="00E73718" w:rsidRPr="00E73718" w:rsidRDefault="00E73718" w:rsidP="00E73718">
      <w:pPr>
        <w:numPr>
          <w:ilvl w:val="0"/>
          <w:numId w:val="6"/>
        </w:numPr>
        <w:shd w:val="clear" w:color="auto" w:fill="FFFFFF"/>
        <w:spacing w:after="0" w:line="240" w:lineRule="auto"/>
        <w:ind w:left="1005"/>
        <w:textAlignment w:val="baseline"/>
        <w:rPr>
          <w:rFonts w:ascii="Roboto" w:eastAsia="Times New Roman" w:hAnsi="Roboto" w:cs="Times New Roman"/>
          <w:color w:val="202A30"/>
          <w:kern w:val="0"/>
          <w:sz w:val="27"/>
          <w:szCs w:val="27"/>
          <w:lang w:eastAsia="en-GB"/>
          <w14:ligatures w14:val="none"/>
        </w:rPr>
      </w:pPr>
      <w:r w:rsidRPr="00E73718">
        <w:rPr>
          <w:rFonts w:ascii="Roboto" w:eastAsia="Times New Roman" w:hAnsi="Roboto" w:cs="Times New Roman"/>
          <w:color w:val="202A30"/>
          <w:kern w:val="0"/>
          <w:sz w:val="27"/>
          <w:szCs w:val="27"/>
          <w:lang w:eastAsia="en-GB"/>
          <w14:ligatures w14:val="none"/>
        </w:rPr>
        <w:t>Talk to your local care homes and pharmacies about proxy access for care home staff.</w:t>
      </w:r>
    </w:p>
    <w:p w14:paraId="3C0007FF" w14:textId="77777777" w:rsidR="00E73718" w:rsidRPr="00E73718" w:rsidRDefault="00E73718" w:rsidP="00E73718">
      <w:pPr>
        <w:numPr>
          <w:ilvl w:val="0"/>
          <w:numId w:val="6"/>
        </w:numPr>
        <w:shd w:val="clear" w:color="auto" w:fill="FFFFFF"/>
        <w:spacing w:after="0" w:line="240" w:lineRule="auto"/>
        <w:ind w:left="1005"/>
        <w:textAlignment w:val="baseline"/>
        <w:rPr>
          <w:rFonts w:ascii="Roboto" w:eastAsia="Times New Roman" w:hAnsi="Roboto" w:cs="Times New Roman"/>
          <w:color w:val="202A30"/>
          <w:kern w:val="0"/>
          <w:sz w:val="27"/>
          <w:szCs w:val="27"/>
          <w:lang w:eastAsia="en-GB"/>
          <w14:ligatures w14:val="none"/>
        </w:rPr>
      </w:pPr>
      <w:r w:rsidRPr="00E73718">
        <w:rPr>
          <w:rFonts w:ascii="Roboto" w:eastAsia="Times New Roman" w:hAnsi="Roboto" w:cs="Times New Roman"/>
          <w:color w:val="202A30"/>
          <w:kern w:val="0"/>
          <w:sz w:val="27"/>
          <w:szCs w:val="27"/>
          <w:lang w:eastAsia="en-GB"/>
          <w14:ligatures w14:val="none"/>
        </w:rPr>
        <w:t xml:space="preserve">ensure proxy access settings are checked, preserved or protected when migrating to other clinical systems or when receiving GP2GP record </w:t>
      </w:r>
      <w:proofErr w:type="gramStart"/>
      <w:r w:rsidRPr="00E73718">
        <w:rPr>
          <w:rFonts w:ascii="Roboto" w:eastAsia="Times New Roman" w:hAnsi="Roboto" w:cs="Times New Roman"/>
          <w:color w:val="202A30"/>
          <w:kern w:val="0"/>
          <w:sz w:val="27"/>
          <w:szCs w:val="27"/>
          <w:lang w:eastAsia="en-GB"/>
          <w14:ligatures w14:val="none"/>
        </w:rPr>
        <w:t>transfers</w:t>
      </w:r>
      <w:proofErr w:type="gramEnd"/>
    </w:p>
    <w:p w14:paraId="59268CDE" w14:textId="77777777" w:rsidR="00E73718" w:rsidRPr="0071332B" w:rsidRDefault="00E73718" w:rsidP="0071332B">
      <w:pPr>
        <w:jc w:val="center"/>
        <w:rPr>
          <w:b/>
          <w:bCs/>
          <w:sz w:val="48"/>
          <w:szCs w:val="48"/>
        </w:rPr>
      </w:pPr>
    </w:p>
    <w:sectPr w:rsidR="00E73718" w:rsidRPr="007133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31E4"/>
    <w:multiLevelType w:val="multilevel"/>
    <w:tmpl w:val="7712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5355C0"/>
    <w:multiLevelType w:val="multilevel"/>
    <w:tmpl w:val="F998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E232D1"/>
    <w:multiLevelType w:val="multilevel"/>
    <w:tmpl w:val="96AC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3A330C"/>
    <w:multiLevelType w:val="multilevel"/>
    <w:tmpl w:val="185A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5A7435"/>
    <w:multiLevelType w:val="multilevel"/>
    <w:tmpl w:val="EF60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DA7ED4"/>
    <w:multiLevelType w:val="multilevel"/>
    <w:tmpl w:val="A524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0409479">
    <w:abstractNumId w:val="3"/>
  </w:num>
  <w:num w:numId="2" w16cid:durableId="78603963">
    <w:abstractNumId w:val="0"/>
  </w:num>
  <w:num w:numId="3" w16cid:durableId="1811824372">
    <w:abstractNumId w:val="2"/>
  </w:num>
  <w:num w:numId="4" w16cid:durableId="1493371353">
    <w:abstractNumId w:val="5"/>
  </w:num>
  <w:num w:numId="5" w16cid:durableId="496313986">
    <w:abstractNumId w:val="1"/>
  </w:num>
  <w:num w:numId="6" w16cid:durableId="92752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2B"/>
    <w:rsid w:val="004C15B1"/>
    <w:rsid w:val="0071332B"/>
    <w:rsid w:val="00BD44B9"/>
    <w:rsid w:val="00C27E6F"/>
    <w:rsid w:val="00E73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BA725"/>
  <w15:chartTrackingRefBased/>
  <w15:docId w15:val="{89DF4E6A-95DE-4555-8AB4-74098C59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1332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next w:val="Normal"/>
    <w:link w:val="Heading3Char"/>
    <w:uiPriority w:val="9"/>
    <w:semiHidden/>
    <w:unhideWhenUsed/>
    <w:qFormat/>
    <w:rsid w:val="007133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332B"/>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71332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71332B"/>
    <w:rPr>
      <w:i/>
      <w:iCs/>
    </w:rPr>
  </w:style>
  <w:style w:type="character" w:styleId="Strong">
    <w:name w:val="Strong"/>
    <w:basedOn w:val="DefaultParagraphFont"/>
    <w:uiPriority w:val="22"/>
    <w:qFormat/>
    <w:rsid w:val="0071332B"/>
    <w:rPr>
      <w:b/>
      <w:bCs/>
    </w:rPr>
  </w:style>
  <w:style w:type="character" w:styleId="Hyperlink">
    <w:name w:val="Hyperlink"/>
    <w:basedOn w:val="DefaultParagraphFont"/>
    <w:uiPriority w:val="99"/>
    <w:semiHidden/>
    <w:unhideWhenUsed/>
    <w:rsid w:val="0071332B"/>
    <w:rPr>
      <w:color w:val="0000FF"/>
      <w:u w:val="single"/>
    </w:rPr>
  </w:style>
  <w:style w:type="character" w:customStyle="1" w:styleId="Heading3Char">
    <w:name w:val="Heading 3 Char"/>
    <w:basedOn w:val="DefaultParagraphFont"/>
    <w:link w:val="Heading3"/>
    <w:uiPriority w:val="9"/>
    <w:semiHidden/>
    <w:rsid w:val="0071332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58607">
      <w:bodyDiv w:val="1"/>
      <w:marLeft w:val="0"/>
      <w:marRight w:val="0"/>
      <w:marTop w:val="0"/>
      <w:marBottom w:val="0"/>
      <w:divBdr>
        <w:top w:val="none" w:sz="0" w:space="0" w:color="auto"/>
        <w:left w:val="none" w:sz="0" w:space="0" w:color="auto"/>
        <w:bottom w:val="none" w:sz="0" w:space="0" w:color="auto"/>
        <w:right w:val="none" w:sz="0" w:space="0" w:color="auto"/>
      </w:divBdr>
    </w:div>
    <w:div w:id="594824615">
      <w:bodyDiv w:val="1"/>
      <w:marLeft w:val="0"/>
      <w:marRight w:val="0"/>
      <w:marTop w:val="0"/>
      <w:marBottom w:val="0"/>
      <w:divBdr>
        <w:top w:val="none" w:sz="0" w:space="0" w:color="auto"/>
        <w:left w:val="none" w:sz="0" w:space="0" w:color="auto"/>
        <w:bottom w:val="none" w:sz="0" w:space="0" w:color="auto"/>
        <w:right w:val="none" w:sz="0" w:space="0" w:color="auto"/>
      </w:divBdr>
    </w:div>
    <w:div w:id="1175799997">
      <w:bodyDiv w:val="1"/>
      <w:marLeft w:val="0"/>
      <w:marRight w:val="0"/>
      <w:marTop w:val="0"/>
      <w:marBottom w:val="0"/>
      <w:divBdr>
        <w:top w:val="none" w:sz="0" w:space="0" w:color="auto"/>
        <w:left w:val="none" w:sz="0" w:space="0" w:color="auto"/>
        <w:bottom w:val="none" w:sz="0" w:space="0" w:color="auto"/>
        <w:right w:val="none" w:sz="0" w:space="0" w:color="auto"/>
      </w:divBdr>
    </w:div>
    <w:div w:id="137796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long-read/nhs-login/" TargetMode="External"/><Relationship Id="rId13" Type="http://schemas.openxmlformats.org/officeDocument/2006/relationships/hyperlink" Target="https://elearning.rcgp.org.uk/pluginfile.php/179161/mod_book/chapter/770/Children%20and%20young%20people%20records%20access%20v3.0.pdf" TargetMode="External"/><Relationship Id="rId3" Type="http://schemas.openxmlformats.org/officeDocument/2006/relationships/settings" Target="settings.xml"/><Relationship Id="rId7" Type="http://schemas.openxmlformats.org/officeDocument/2006/relationships/hyperlink" Target="https://www.england.nhs.uk/long-read/identity-verification/" TargetMode="External"/><Relationship Id="rId12" Type="http://schemas.openxmlformats.org/officeDocument/2006/relationships/hyperlink" Target="https://elearning.rcgp.org.uk/pluginfile.php/179161/mod_book/chapter/770/Children%20and%20young%20people%20records%20access%20v3.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land.nhs.uk/long-read/redacting-information-for-online-record-access/" TargetMode="External"/><Relationship Id="rId11" Type="http://schemas.openxmlformats.org/officeDocument/2006/relationships/hyperlink" Target="https://elearning.rcgp.org.uk/pluginfile.php/179161/mod_book/chapter/770/Children%20and%20young%20people%20records%20access%20v3.0.pdf" TargetMode="External"/><Relationship Id="rId5" Type="http://schemas.openxmlformats.org/officeDocument/2006/relationships/hyperlink" Target="https://www.england.nhs.uk/long-read/coercion/" TargetMode="External"/><Relationship Id="rId15" Type="http://schemas.openxmlformats.org/officeDocument/2006/relationships/theme" Target="theme/theme1.xml"/><Relationship Id="rId10" Type="http://schemas.openxmlformats.org/officeDocument/2006/relationships/hyperlink" Target="https://elearning.rcgp.org.uk/pluginfile.php/179161/mod_book/chapter/770/Children%20and%20young%20people%20records%20access%20v3.0.pdf" TargetMode="External"/><Relationship Id="rId4" Type="http://schemas.openxmlformats.org/officeDocument/2006/relationships/webSettings" Target="webSettings.xml"/><Relationship Id="rId9" Type="http://schemas.openxmlformats.org/officeDocument/2006/relationships/hyperlink" Target="https://www.nhs.uk/conditions/social-care-and-support-guide/making-decisions-for-someone-else/mental-capacity-ac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Ojei Dela cruz</dc:creator>
  <cp:keywords/>
  <dc:description/>
  <cp:lastModifiedBy>Ojei Dela cruz</cp:lastModifiedBy>
  <cp:revision>2</cp:revision>
  <dcterms:created xsi:type="dcterms:W3CDTF">2024-07-04T09:27:00Z</dcterms:created>
  <dcterms:modified xsi:type="dcterms:W3CDTF">2024-07-04T09:46:00Z</dcterms:modified>
</cp:coreProperties>
</file>